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CEFA50" w14:textId="77777777" w:rsidR="00E961AD" w:rsidRPr="00400368" w:rsidRDefault="00E961AD" w:rsidP="00E961AD">
      <w:pPr>
        <w:spacing w:after="0" w:line="240" w:lineRule="auto"/>
        <w:jc w:val="center"/>
        <w:rPr>
          <w:rFonts w:ascii="Palatino Linotype" w:hAnsi="Palatino Linotype"/>
          <w:sz w:val="20"/>
          <w:szCs w:val="20"/>
        </w:rPr>
      </w:pPr>
      <w:bookmarkStart w:id="0" w:name="_Hlk57865269"/>
      <w:r w:rsidRPr="00400368">
        <w:rPr>
          <w:rFonts w:ascii="Palatino Linotype" w:hAnsi="Palatino Linotype"/>
          <w:sz w:val="20"/>
          <w:szCs w:val="20"/>
        </w:rPr>
        <w:t>AMERICAN CONSTITUTIONALISM</w:t>
      </w:r>
    </w:p>
    <w:p w14:paraId="7E65ACCB" w14:textId="77777777" w:rsidR="00E961AD" w:rsidRPr="00400368" w:rsidRDefault="00E961AD" w:rsidP="00E961AD">
      <w:pPr>
        <w:spacing w:after="0" w:line="240" w:lineRule="auto"/>
        <w:jc w:val="center"/>
        <w:rPr>
          <w:rFonts w:ascii="Palatino Linotype" w:hAnsi="Palatino Linotype"/>
          <w:sz w:val="20"/>
          <w:szCs w:val="20"/>
        </w:rPr>
      </w:pPr>
      <w:r w:rsidRPr="00400368">
        <w:rPr>
          <w:rFonts w:ascii="Palatino Linotype" w:hAnsi="Palatino Linotype"/>
          <w:sz w:val="20"/>
          <w:szCs w:val="20"/>
        </w:rPr>
        <w:t>VOLUME II:  RIGHTS AND LIBERTIES</w:t>
      </w:r>
    </w:p>
    <w:p w14:paraId="1DA2F0F1" w14:textId="77777777" w:rsidR="00E961AD" w:rsidRPr="00400368" w:rsidRDefault="00E961AD" w:rsidP="00E961AD">
      <w:pPr>
        <w:spacing w:after="0" w:line="240" w:lineRule="auto"/>
        <w:jc w:val="center"/>
        <w:rPr>
          <w:rFonts w:ascii="Palatino Linotype" w:hAnsi="Palatino Linotype"/>
          <w:sz w:val="20"/>
          <w:szCs w:val="20"/>
        </w:rPr>
      </w:pPr>
      <w:r w:rsidRPr="00400368">
        <w:rPr>
          <w:rFonts w:ascii="Palatino Linotype" w:hAnsi="Palatino Linotype"/>
          <w:sz w:val="20"/>
          <w:szCs w:val="20"/>
        </w:rPr>
        <w:t>Howard Gillman • Mark A. Graber • Keith E. Whittington</w:t>
      </w:r>
    </w:p>
    <w:p w14:paraId="0F021782" w14:textId="77777777" w:rsidR="00E961AD" w:rsidRPr="00400368" w:rsidRDefault="00E961AD" w:rsidP="00E961AD">
      <w:pPr>
        <w:spacing w:after="0" w:line="240" w:lineRule="auto"/>
        <w:jc w:val="center"/>
        <w:rPr>
          <w:rFonts w:ascii="Palatino Linotype" w:hAnsi="Palatino Linotype"/>
          <w:sz w:val="20"/>
          <w:szCs w:val="20"/>
        </w:rPr>
      </w:pPr>
    </w:p>
    <w:p w14:paraId="5E4C946A" w14:textId="77777777" w:rsidR="00E961AD" w:rsidRPr="00400368" w:rsidRDefault="00E961AD" w:rsidP="00E961AD">
      <w:pPr>
        <w:spacing w:after="0" w:line="240" w:lineRule="auto"/>
        <w:jc w:val="center"/>
        <w:rPr>
          <w:rFonts w:ascii="Palatino Linotype" w:hAnsi="Palatino Linotype"/>
          <w:sz w:val="20"/>
          <w:szCs w:val="20"/>
        </w:rPr>
      </w:pPr>
      <w:r w:rsidRPr="00400368">
        <w:rPr>
          <w:rFonts w:ascii="Palatino Linotype" w:hAnsi="Palatino Linotype"/>
          <w:sz w:val="20"/>
          <w:szCs w:val="20"/>
        </w:rPr>
        <w:t>Supplementary Material</w:t>
      </w:r>
    </w:p>
    <w:p w14:paraId="3AE69D92" w14:textId="77777777" w:rsidR="00E961AD" w:rsidRPr="00400368" w:rsidRDefault="00E961AD" w:rsidP="00E961AD">
      <w:pPr>
        <w:spacing w:after="0" w:line="240" w:lineRule="auto"/>
        <w:jc w:val="center"/>
        <w:rPr>
          <w:rFonts w:ascii="Palatino Linotype" w:hAnsi="Palatino Linotype"/>
          <w:sz w:val="20"/>
          <w:szCs w:val="20"/>
        </w:rPr>
      </w:pPr>
    </w:p>
    <w:p w14:paraId="3C37B591" w14:textId="7B58F46E" w:rsidR="00E961AD" w:rsidRPr="00400368" w:rsidRDefault="00E961AD" w:rsidP="00E961AD">
      <w:pPr>
        <w:spacing w:after="0" w:line="240" w:lineRule="auto"/>
        <w:jc w:val="center"/>
        <w:rPr>
          <w:rFonts w:ascii="Palatino Linotype" w:hAnsi="Palatino Linotype"/>
          <w:sz w:val="20"/>
          <w:szCs w:val="20"/>
        </w:rPr>
      </w:pPr>
      <w:r w:rsidRPr="00400368">
        <w:rPr>
          <w:rFonts w:ascii="Palatino Linotype" w:hAnsi="Palatino Linotype"/>
          <w:sz w:val="20"/>
          <w:szCs w:val="20"/>
        </w:rPr>
        <w:t>Chapter 12:  The Contemporary Era – Criminal Justice/Punishments</w:t>
      </w:r>
      <w:r w:rsidR="00C079FC" w:rsidRPr="00400368">
        <w:rPr>
          <w:rFonts w:ascii="Palatino Linotype" w:hAnsi="Palatino Linotype"/>
          <w:sz w:val="20"/>
          <w:szCs w:val="20"/>
        </w:rPr>
        <w:t>/The Death Penalty</w:t>
      </w:r>
    </w:p>
    <w:p w14:paraId="403D591D" w14:textId="77777777" w:rsidR="00E961AD" w:rsidRPr="00400368" w:rsidRDefault="00E961AD" w:rsidP="00E961AD">
      <w:pPr>
        <w:spacing w:after="0" w:line="240" w:lineRule="auto"/>
        <w:jc w:val="center"/>
        <w:rPr>
          <w:rFonts w:ascii="Palatino Linotype" w:hAnsi="Palatino Linotype"/>
          <w:sz w:val="20"/>
          <w:szCs w:val="20"/>
        </w:rPr>
      </w:pPr>
    </w:p>
    <w:p w14:paraId="0C90746C" w14:textId="77777777" w:rsidR="00E961AD" w:rsidRPr="00400368" w:rsidRDefault="001A02B7" w:rsidP="00E961AD">
      <w:pPr>
        <w:spacing w:after="0" w:line="240" w:lineRule="auto"/>
        <w:rPr>
          <w:rFonts w:ascii="Palatino Linotype" w:hAnsi="Palatino Linotype" w:cs="Times New Roman"/>
          <w:sz w:val="20"/>
          <w:szCs w:val="20"/>
        </w:rPr>
      </w:pPr>
      <w:r>
        <w:rPr>
          <w:rFonts w:ascii="Palatino Linotype" w:hAnsi="Palatino Linotype" w:cs="Times New Roman"/>
          <w:sz w:val="20"/>
          <w:szCs w:val="20"/>
        </w:rPr>
        <w:pict w14:anchorId="26205C8B">
          <v:rect id="_x0000_i1025" style="width:468pt;height:1.5pt" o:hralign="center" o:hrstd="t" o:hrnoshade="t" o:hr="t" fillcolor="black [3213]" stroked="f"/>
        </w:pict>
      </w:r>
    </w:p>
    <w:p w14:paraId="1CCF0045" w14:textId="4877A6DD" w:rsidR="00E961AD" w:rsidRPr="00400368" w:rsidRDefault="00E961AD" w:rsidP="00E961AD">
      <w:pPr>
        <w:spacing w:after="0" w:line="240" w:lineRule="auto"/>
        <w:jc w:val="center"/>
        <w:rPr>
          <w:rFonts w:ascii="Palatino Linotype" w:eastAsia="Times New Roman" w:hAnsi="Palatino Linotype" w:cs="Times New Roman"/>
          <w:sz w:val="20"/>
          <w:szCs w:val="20"/>
        </w:rPr>
      </w:pPr>
      <w:r w:rsidRPr="00400368">
        <w:rPr>
          <w:rFonts w:ascii="Palatino Linotype" w:eastAsia="Times New Roman" w:hAnsi="Palatino Linotype" w:cs="Times New Roman"/>
          <w:b/>
          <w:bCs/>
          <w:sz w:val="20"/>
          <w:szCs w:val="20"/>
        </w:rPr>
        <w:t xml:space="preserve">Barr v. </w:t>
      </w:r>
      <w:proofErr w:type="spellStart"/>
      <w:r w:rsidRPr="00400368">
        <w:rPr>
          <w:rFonts w:ascii="Palatino Linotype" w:eastAsia="Times New Roman" w:hAnsi="Palatino Linotype" w:cs="Times New Roman"/>
          <w:b/>
          <w:bCs/>
          <w:sz w:val="20"/>
          <w:szCs w:val="20"/>
        </w:rPr>
        <w:t>Purkey</w:t>
      </w:r>
      <w:proofErr w:type="spellEnd"/>
      <w:r w:rsidRPr="00400368">
        <w:rPr>
          <w:rFonts w:ascii="Palatino Linotype" w:eastAsia="Times New Roman" w:hAnsi="Palatino Linotype" w:cs="Times New Roman"/>
          <w:b/>
          <w:bCs/>
          <w:sz w:val="20"/>
          <w:szCs w:val="20"/>
        </w:rPr>
        <w:t xml:space="preserve">, 140 </w:t>
      </w:r>
      <w:proofErr w:type="spellStart"/>
      <w:r w:rsidRPr="00400368">
        <w:rPr>
          <w:rFonts w:ascii="Palatino Linotype" w:eastAsia="Times New Roman" w:hAnsi="Palatino Linotype" w:cs="Times New Roman"/>
          <w:b/>
          <w:bCs/>
          <w:sz w:val="20"/>
          <w:szCs w:val="20"/>
        </w:rPr>
        <w:t>S.Ct</w:t>
      </w:r>
      <w:proofErr w:type="spellEnd"/>
      <w:r w:rsidRPr="00400368">
        <w:rPr>
          <w:rFonts w:ascii="Palatino Linotype" w:eastAsia="Times New Roman" w:hAnsi="Palatino Linotype" w:cs="Times New Roman"/>
          <w:b/>
          <w:bCs/>
          <w:sz w:val="20"/>
          <w:szCs w:val="20"/>
        </w:rPr>
        <w:t xml:space="preserve">. 2594 </w:t>
      </w:r>
      <w:r w:rsidRPr="00400368">
        <w:rPr>
          <w:rFonts w:ascii="Palatino Linotype" w:eastAsia="Times New Roman" w:hAnsi="Palatino Linotype" w:cs="Times New Roman"/>
          <w:sz w:val="20"/>
          <w:szCs w:val="20"/>
        </w:rPr>
        <w:t>(2020)</w:t>
      </w:r>
    </w:p>
    <w:p w14:paraId="4C4A10E9" w14:textId="77777777" w:rsidR="00E961AD" w:rsidRPr="00400368" w:rsidRDefault="001A02B7" w:rsidP="00E961AD">
      <w:pPr>
        <w:spacing w:after="0" w:line="240" w:lineRule="auto"/>
        <w:rPr>
          <w:rFonts w:ascii="Palatino Linotype" w:eastAsia="Times New Roman" w:hAnsi="Palatino Linotype" w:cs="Times New Roman"/>
          <w:sz w:val="20"/>
          <w:szCs w:val="20"/>
        </w:rPr>
      </w:pPr>
      <w:r>
        <w:rPr>
          <w:rFonts w:ascii="Palatino Linotype" w:hAnsi="Palatino Linotype" w:cs="Times New Roman"/>
          <w:sz w:val="20"/>
          <w:szCs w:val="20"/>
        </w:rPr>
        <w:pict w14:anchorId="428B0F19">
          <v:rect id="_x0000_i1026" style="width:468pt;height:1.5pt" o:hralign="center" o:hrstd="t" o:hrnoshade="t" o:hr="t" fillcolor="black [3213]" stroked="f"/>
        </w:pict>
      </w:r>
    </w:p>
    <w:p w14:paraId="50779D2D" w14:textId="708CEF06" w:rsidR="00E961AD" w:rsidRPr="00400368" w:rsidRDefault="00E961AD" w:rsidP="00E961AD">
      <w:pPr>
        <w:spacing w:after="0" w:line="240" w:lineRule="auto"/>
        <w:rPr>
          <w:rFonts w:ascii="Palatino Linotype" w:eastAsia="Times New Roman" w:hAnsi="Palatino Linotype" w:cs="Times New Roman"/>
          <w:sz w:val="20"/>
          <w:szCs w:val="20"/>
        </w:rPr>
      </w:pPr>
    </w:p>
    <w:p w14:paraId="69BAA1A1" w14:textId="45278207" w:rsidR="003C5D46" w:rsidRPr="00400368" w:rsidRDefault="003C5D46" w:rsidP="00E961AD">
      <w:pPr>
        <w:spacing w:after="0" w:line="240" w:lineRule="auto"/>
        <w:rPr>
          <w:rFonts w:ascii="Palatino Linotype" w:eastAsia="Times New Roman" w:hAnsi="Palatino Linotype" w:cs="Times New Roman"/>
          <w:i/>
          <w:iCs/>
          <w:sz w:val="20"/>
          <w:szCs w:val="20"/>
        </w:rPr>
      </w:pPr>
      <w:r w:rsidRPr="00400368">
        <w:rPr>
          <w:rFonts w:ascii="Palatino Linotype" w:eastAsia="Times New Roman" w:hAnsi="Palatino Linotype" w:cs="Times New Roman"/>
          <w:i/>
          <w:iCs/>
          <w:sz w:val="20"/>
          <w:szCs w:val="20"/>
        </w:rPr>
        <w:t xml:space="preserve">Wesley </w:t>
      </w:r>
      <w:proofErr w:type="spellStart"/>
      <w:r w:rsidRPr="00400368">
        <w:rPr>
          <w:rFonts w:ascii="Palatino Linotype" w:eastAsia="Times New Roman" w:hAnsi="Palatino Linotype" w:cs="Times New Roman"/>
          <w:i/>
          <w:iCs/>
          <w:sz w:val="20"/>
          <w:szCs w:val="20"/>
        </w:rPr>
        <w:t>Purkey</w:t>
      </w:r>
      <w:proofErr w:type="spellEnd"/>
      <w:r w:rsidRPr="00400368">
        <w:rPr>
          <w:rFonts w:ascii="Palatino Linotype" w:eastAsia="Times New Roman" w:hAnsi="Palatino Linotype" w:cs="Times New Roman"/>
          <w:i/>
          <w:iCs/>
          <w:sz w:val="20"/>
          <w:szCs w:val="20"/>
        </w:rPr>
        <w:t xml:space="preserve"> in 1998 kidnapped, raped, and brutally murdered Jennifer Long, who was 16 years old at the time of her death (</w:t>
      </w:r>
      <w:proofErr w:type="spellStart"/>
      <w:r w:rsidRPr="00400368">
        <w:rPr>
          <w:rFonts w:ascii="Palatino Linotype" w:eastAsia="Times New Roman" w:hAnsi="Palatino Linotype" w:cs="Times New Roman"/>
          <w:i/>
          <w:iCs/>
          <w:sz w:val="20"/>
          <w:szCs w:val="20"/>
        </w:rPr>
        <w:t>Purkey</w:t>
      </w:r>
      <w:proofErr w:type="spellEnd"/>
      <w:r w:rsidRPr="00400368">
        <w:rPr>
          <w:rFonts w:ascii="Palatino Linotype" w:eastAsia="Times New Roman" w:hAnsi="Palatino Linotype" w:cs="Times New Roman"/>
          <w:i/>
          <w:iCs/>
          <w:sz w:val="20"/>
          <w:szCs w:val="20"/>
        </w:rPr>
        <w:t xml:space="preserve"> was 46 when the murder was committed).  </w:t>
      </w:r>
      <w:proofErr w:type="spellStart"/>
      <w:r w:rsidRPr="00400368">
        <w:rPr>
          <w:rFonts w:ascii="Palatino Linotype" w:eastAsia="Times New Roman" w:hAnsi="Palatino Linotype" w:cs="Times New Roman"/>
          <w:i/>
          <w:iCs/>
          <w:sz w:val="20"/>
          <w:szCs w:val="20"/>
        </w:rPr>
        <w:t>Purkey</w:t>
      </w:r>
      <w:proofErr w:type="spellEnd"/>
      <w:r w:rsidRPr="00400368">
        <w:rPr>
          <w:rFonts w:ascii="Palatino Linotype" w:eastAsia="Times New Roman" w:hAnsi="Palatino Linotype" w:cs="Times New Roman"/>
          <w:i/>
          <w:iCs/>
          <w:sz w:val="20"/>
          <w:szCs w:val="20"/>
        </w:rPr>
        <w:t xml:space="preserve"> was arrested, </w:t>
      </w:r>
      <w:proofErr w:type="gramStart"/>
      <w:r w:rsidRPr="00400368">
        <w:rPr>
          <w:rFonts w:ascii="Palatino Linotype" w:eastAsia="Times New Roman" w:hAnsi="Palatino Linotype" w:cs="Times New Roman"/>
          <w:i/>
          <w:iCs/>
          <w:sz w:val="20"/>
          <w:szCs w:val="20"/>
        </w:rPr>
        <w:t>convicted</w:t>
      </w:r>
      <w:proofErr w:type="gramEnd"/>
      <w:r w:rsidRPr="00400368">
        <w:rPr>
          <w:rFonts w:ascii="Palatino Linotype" w:eastAsia="Times New Roman" w:hAnsi="Palatino Linotype" w:cs="Times New Roman"/>
          <w:i/>
          <w:iCs/>
          <w:sz w:val="20"/>
          <w:szCs w:val="20"/>
        </w:rPr>
        <w:t xml:space="preserve"> and sentenced to </w:t>
      </w:r>
      <w:r w:rsidR="00BD7564" w:rsidRPr="00400368">
        <w:rPr>
          <w:rFonts w:ascii="Palatino Linotype" w:eastAsia="Times New Roman" w:hAnsi="Palatino Linotype" w:cs="Times New Roman"/>
          <w:i/>
          <w:iCs/>
          <w:sz w:val="20"/>
          <w:szCs w:val="20"/>
        </w:rPr>
        <w:t>death</w:t>
      </w:r>
      <w:r w:rsidRPr="00400368">
        <w:rPr>
          <w:rFonts w:ascii="Palatino Linotype" w:eastAsia="Times New Roman" w:hAnsi="Palatino Linotype" w:cs="Times New Roman"/>
          <w:i/>
          <w:iCs/>
          <w:sz w:val="20"/>
          <w:szCs w:val="20"/>
        </w:rPr>
        <w:t xml:space="preserve"> by a federal jury.  After a very long series of appeals, </w:t>
      </w:r>
      <w:proofErr w:type="spellStart"/>
      <w:r w:rsidRPr="00400368">
        <w:rPr>
          <w:rFonts w:ascii="Palatino Linotype" w:eastAsia="Times New Roman" w:hAnsi="Palatino Linotype" w:cs="Times New Roman"/>
          <w:i/>
          <w:iCs/>
          <w:sz w:val="20"/>
          <w:szCs w:val="20"/>
        </w:rPr>
        <w:t>Purkey</w:t>
      </w:r>
      <w:proofErr w:type="spellEnd"/>
      <w:r w:rsidRPr="00400368">
        <w:rPr>
          <w:rFonts w:ascii="Palatino Linotype" w:eastAsia="Times New Roman" w:hAnsi="Palatino Linotype" w:cs="Times New Roman"/>
          <w:i/>
          <w:iCs/>
          <w:sz w:val="20"/>
          <w:szCs w:val="20"/>
        </w:rPr>
        <w:t xml:space="preserve"> was scheduled to be executed on July 16, 2020.  A federal district court on July 15, 2020 issued a temporary injunction, forbidding the government from executing </w:t>
      </w:r>
      <w:proofErr w:type="spellStart"/>
      <w:r w:rsidRPr="00400368">
        <w:rPr>
          <w:rFonts w:ascii="Palatino Linotype" w:eastAsia="Times New Roman" w:hAnsi="Palatino Linotype" w:cs="Times New Roman"/>
          <w:i/>
          <w:iCs/>
          <w:sz w:val="20"/>
          <w:szCs w:val="20"/>
        </w:rPr>
        <w:t>Purkey</w:t>
      </w:r>
      <w:proofErr w:type="spellEnd"/>
      <w:r w:rsidRPr="00400368">
        <w:rPr>
          <w:rFonts w:ascii="Palatino Linotype" w:eastAsia="Times New Roman" w:hAnsi="Palatino Linotype" w:cs="Times New Roman"/>
          <w:i/>
          <w:iCs/>
          <w:sz w:val="20"/>
          <w:szCs w:val="20"/>
        </w:rPr>
        <w:t xml:space="preserve"> until a hearing was held to determine whether </w:t>
      </w:r>
      <w:proofErr w:type="spellStart"/>
      <w:r w:rsidRPr="00400368">
        <w:rPr>
          <w:rFonts w:ascii="Palatino Linotype" w:eastAsia="Times New Roman" w:hAnsi="Palatino Linotype" w:cs="Times New Roman"/>
          <w:i/>
          <w:iCs/>
          <w:sz w:val="20"/>
          <w:szCs w:val="20"/>
        </w:rPr>
        <w:t>Purkey</w:t>
      </w:r>
      <w:proofErr w:type="spellEnd"/>
      <w:r w:rsidRPr="00400368">
        <w:rPr>
          <w:rFonts w:ascii="Palatino Linotype" w:eastAsia="Times New Roman" w:hAnsi="Palatino Linotype" w:cs="Times New Roman"/>
          <w:i/>
          <w:iCs/>
          <w:sz w:val="20"/>
          <w:szCs w:val="20"/>
        </w:rPr>
        <w:t>, who was suffering from brain damage and numerous psychiatric disorders, was competent to be executed.  William Barr, the Attorney General of the United States appealed to the Supreme Court.</w:t>
      </w:r>
    </w:p>
    <w:p w14:paraId="1C806078" w14:textId="5BEE2D91" w:rsidR="003C5D46" w:rsidRPr="00400368" w:rsidRDefault="003C5D46" w:rsidP="00E961AD">
      <w:pPr>
        <w:spacing w:after="0" w:line="240" w:lineRule="auto"/>
        <w:rPr>
          <w:rFonts w:ascii="Palatino Linotype" w:eastAsia="Times New Roman" w:hAnsi="Palatino Linotype" w:cs="Times New Roman"/>
          <w:i/>
          <w:iCs/>
          <w:sz w:val="20"/>
          <w:szCs w:val="20"/>
        </w:rPr>
      </w:pPr>
      <w:r w:rsidRPr="00400368">
        <w:rPr>
          <w:rFonts w:ascii="Palatino Linotype" w:eastAsia="Times New Roman" w:hAnsi="Palatino Linotype" w:cs="Times New Roman"/>
          <w:i/>
          <w:iCs/>
          <w:sz w:val="20"/>
          <w:szCs w:val="20"/>
        </w:rPr>
        <w:tab/>
        <w:t xml:space="preserve">The Supreme Court by a 5-4 vote vacated the preliminary injunction.  Justices Stephen Breyer and Ruth Bader Ginsburg dissented from that decision on the ground that the process by which </w:t>
      </w:r>
      <w:proofErr w:type="spellStart"/>
      <w:r w:rsidRPr="00400368">
        <w:rPr>
          <w:rFonts w:ascii="Palatino Linotype" w:eastAsia="Times New Roman" w:hAnsi="Palatino Linotype" w:cs="Times New Roman"/>
          <w:i/>
          <w:iCs/>
          <w:sz w:val="20"/>
          <w:szCs w:val="20"/>
        </w:rPr>
        <w:t>Purkey’s</w:t>
      </w:r>
      <w:proofErr w:type="spellEnd"/>
      <w:r w:rsidRPr="00400368">
        <w:rPr>
          <w:rFonts w:ascii="Palatino Linotype" w:eastAsia="Times New Roman" w:hAnsi="Palatino Linotype" w:cs="Times New Roman"/>
          <w:i/>
          <w:iCs/>
          <w:sz w:val="20"/>
          <w:szCs w:val="20"/>
        </w:rPr>
        <w:t xml:space="preserve"> death sentence was imposed and reviewed further demonstrated that the death penalty could not be constitutionally implemented.  Justice Sonya Sotomayor’s dissent objected to the removal of the preliminary injunction.  Under what conditions does Sotomayor claim a court can vacate a preliminary injunction issued by a lower federal court?  Why does she believe the judicial decision in this case does not meet that standard?  Can you imagine a death penalty case in which the Supreme Court would be justified in vacating a preliminary injunction issued by a lower federal court?  Does this demonstrate that Sotomayor’s standard is too high or that the death penalty cannot be imposed </w:t>
      </w:r>
      <w:r w:rsidR="00BE3933" w:rsidRPr="00400368">
        <w:rPr>
          <w:rFonts w:ascii="Palatino Linotype" w:eastAsia="Times New Roman" w:hAnsi="Palatino Linotype" w:cs="Times New Roman"/>
          <w:i/>
          <w:iCs/>
          <w:sz w:val="20"/>
          <w:szCs w:val="20"/>
        </w:rPr>
        <w:t>equitably and consistently with contemporary notions of due process?</w:t>
      </w:r>
    </w:p>
    <w:p w14:paraId="0E7039D9" w14:textId="77777777" w:rsidR="003C5D46" w:rsidRPr="00400368" w:rsidRDefault="003C5D46" w:rsidP="00E961AD">
      <w:pPr>
        <w:shd w:val="clear" w:color="auto" w:fill="FFFFFF"/>
        <w:spacing w:after="0" w:line="240" w:lineRule="auto"/>
        <w:textAlignment w:val="baseline"/>
        <w:rPr>
          <w:rFonts w:ascii="Palatino Linotype" w:eastAsia="Times New Roman" w:hAnsi="Palatino Linotype" w:cs="Times New Roman"/>
          <w:sz w:val="20"/>
          <w:szCs w:val="20"/>
        </w:rPr>
      </w:pPr>
    </w:p>
    <w:p w14:paraId="4204F6D2" w14:textId="0267F58E" w:rsidR="00E961AD" w:rsidRPr="00400368" w:rsidRDefault="00E961AD" w:rsidP="00E961AD">
      <w:pPr>
        <w:shd w:val="clear" w:color="auto" w:fill="FFFFFF"/>
        <w:spacing w:after="0" w:line="240" w:lineRule="auto"/>
        <w:textAlignment w:val="baseline"/>
        <w:rPr>
          <w:rFonts w:ascii="Palatino Linotype" w:eastAsia="Times New Roman" w:hAnsi="Palatino Linotype" w:cs="Times New Roman"/>
          <w:sz w:val="20"/>
          <w:szCs w:val="20"/>
        </w:rPr>
      </w:pPr>
      <w:r w:rsidRPr="00400368">
        <w:rPr>
          <w:rFonts w:ascii="Palatino Linotype" w:eastAsia="Times New Roman" w:hAnsi="Palatino Linotype" w:cs="Times New Roman"/>
          <w:sz w:val="20"/>
          <w:szCs w:val="20"/>
        </w:rPr>
        <w:t>The application for stay or vacatur presented to THE CHIEF JUSTICE and by him referred to the Court is granted. The District Court's July 15, 2020 order granting a preliminary injunction is vacated.</w:t>
      </w:r>
    </w:p>
    <w:p w14:paraId="2299946B" w14:textId="77777777" w:rsidR="00E961AD" w:rsidRPr="00400368" w:rsidRDefault="00E961AD" w:rsidP="00E961AD">
      <w:pPr>
        <w:shd w:val="clear" w:color="auto" w:fill="FFFFFF"/>
        <w:spacing w:after="0" w:line="240" w:lineRule="auto"/>
        <w:textAlignment w:val="baseline"/>
        <w:rPr>
          <w:rFonts w:ascii="Palatino Linotype" w:eastAsia="Times New Roman" w:hAnsi="Palatino Linotype" w:cs="Times New Roman"/>
          <w:sz w:val="20"/>
          <w:szCs w:val="20"/>
        </w:rPr>
      </w:pPr>
    </w:p>
    <w:p w14:paraId="537DB3CC" w14:textId="7ADA4518" w:rsidR="00E961AD" w:rsidRPr="00400368" w:rsidRDefault="00E961AD" w:rsidP="00E961AD">
      <w:pPr>
        <w:shd w:val="clear" w:color="auto" w:fill="FFFFFF"/>
        <w:spacing w:after="0" w:line="240" w:lineRule="auto"/>
        <w:textAlignment w:val="baseline"/>
        <w:rPr>
          <w:rFonts w:ascii="Palatino Linotype" w:eastAsia="Times New Roman" w:hAnsi="Palatino Linotype" w:cs="Times New Roman"/>
          <w:sz w:val="20"/>
          <w:szCs w:val="20"/>
        </w:rPr>
      </w:pPr>
      <w:r w:rsidRPr="00400368">
        <w:rPr>
          <w:rFonts w:ascii="Palatino Linotype" w:eastAsia="Times New Roman" w:hAnsi="Palatino Linotype" w:cs="Times New Roman"/>
          <w:sz w:val="20"/>
          <w:szCs w:val="20"/>
        </w:rPr>
        <w:t>Justice </w:t>
      </w:r>
      <w:hyperlink r:id="rId4" w:history="1">
        <w:r w:rsidRPr="00400368">
          <w:rPr>
            <w:rFonts w:ascii="Palatino Linotype" w:eastAsia="Times New Roman" w:hAnsi="Palatino Linotype" w:cs="Times New Roman"/>
            <w:sz w:val="20"/>
            <w:szCs w:val="20"/>
            <w:bdr w:val="none" w:sz="0" w:space="0" w:color="auto" w:frame="1"/>
          </w:rPr>
          <w:t>BREYER</w:t>
        </w:r>
      </w:hyperlink>
      <w:r w:rsidRPr="00400368">
        <w:rPr>
          <w:rFonts w:ascii="Palatino Linotype" w:eastAsia="Times New Roman" w:hAnsi="Palatino Linotype" w:cs="Times New Roman"/>
          <w:sz w:val="20"/>
          <w:szCs w:val="20"/>
        </w:rPr>
        <w:t>, with whom Justice </w:t>
      </w:r>
      <w:hyperlink r:id="rId5" w:history="1">
        <w:r w:rsidRPr="00400368">
          <w:rPr>
            <w:rFonts w:ascii="Palatino Linotype" w:eastAsia="Times New Roman" w:hAnsi="Palatino Linotype" w:cs="Times New Roman"/>
            <w:sz w:val="20"/>
            <w:szCs w:val="20"/>
            <w:bdr w:val="none" w:sz="0" w:space="0" w:color="auto" w:frame="1"/>
          </w:rPr>
          <w:t>GINSBURG</w:t>
        </w:r>
      </w:hyperlink>
      <w:r w:rsidRPr="00400368">
        <w:rPr>
          <w:rFonts w:ascii="Palatino Linotype" w:eastAsia="Times New Roman" w:hAnsi="Palatino Linotype" w:cs="Times New Roman"/>
          <w:sz w:val="20"/>
          <w:szCs w:val="20"/>
        </w:rPr>
        <w:t> joins, dissenting.</w:t>
      </w:r>
    </w:p>
    <w:p w14:paraId="46594816" w14:textId="77777777" w:rsidR="00E961AD" w:rsidRPr="00400368" w:rsidRDefault="00E961AD" w:rsidP="00E961AD">
      <w:pPr>
        <w:shd w:val="clear" w:color="auto" w:fill="FFFFFF"/>
        <w:spacing w:after="0" w:line="240" w:lineRule="auto"/>
        <w:textAlignment w:val="baseline"/>
        <w:rPr>
          <w:rFonts w:ascii="Palatino Linotype" w:eastAsia="Times New Roman" w:hAnsi="Palatino Linotype" w:cs="Times New Roman"/>
          <w:sz w:val="20"/>
          <w:szCs w:val="20"/>
          <w:bdr w:val="single" w:sz="12" w:space="0" w:color="86B392" w:frame="1"/>
        </w:rPr>
      </w:pPr>
    </w:p>
    <w:p w14:paraId="18678D53" w14:textId="3DFA122B" w:rsidR="00E961AD" w:rsidRPr="00400368" w:rsidRDefault="00E961AD" w:rsidP="00E961AD">
      <w:pPr>
        <w:shd w:val="clear" w:color="auto" w:fill="FFFFFF"/>
        <w:spacing w:after="0" w:line="240" w:lineRule="auto"/>
        <w:textAlignment w:val="baseline"/>
        <w:rPr>
          <w:rFonts w:ascii="Palatino Linotype" w:eastAsia="Times New Roman" w:hAnsi="Palatino Linotype" w:cs="Times New Roman"/>
          <w:sz w:val="20"/>
          <w:szCs w:val="20"/>
        </w:rPr>
      </w:pPr>
      <w:r w:rsidRPr="00400368">
        <w:rPr>
          <w:rFonts w:ascii="Palatino Linotype" w:eastAsia="Times New Roman" w:hAnsi="Palatino Linotype" w:cs="Times New Roman"/>
          <w:sz w:val="20"/>
          <w:szCs w:val="20"/>
        </w:rPr>
        <w:t>Two days ago, the Federal Government conducted its first execution in nearly two decades. Today, it will conduct its second. Both cases have come before us with the defendants pointing to what I believe are serious legal defects of a kind that have long plagued the administration of the death penalty in the United States. See </w:t>
      </w:r>
      <w:r w:rsidRPr="00400368">
        <w:rPr>
          <w:rFonts w:ascii="Palatino Linotype" w:eastAsia="Times New Roman" w:hAnsi="Palatino Linotype" w:cs="Times New Roman"/>
          <w:i/>
          <w:iCs/>
          <w:sz w:val="20"/>
          <w:szCs w:val="20"/>
          <w:bdr w:val="none" w:sz="0" w:space="0" w:color="auto" w:frame="1"/>
        </w:rPr>
        <w:t>Glossip</w:t>
      </w:r>
      <w:r w:rsidRPr="00400368">
        <w:rPr>
          <w:rFonts w:ascii="Palatino Linotype" w:eastAsia="Times New Roman" w:hAnsi="Palatino Linotype" w:cs="Times New Roman"/>
          <w:sz w:val="20"/>
          <w:szCs w:val="20"/>
          <w:bdr w:val="none" w:sz="0" w:space="0" w:color="auto" w:frame="1"/>
        </w:rPr>
        <w:t> v. </w:t>
      </w:r>
      <w:r w:rsidRPr="00400368">
        <w:rPr>
          <w:rFonts w:ascii="Palatino Linotype" w:eastAsia="Times New Roman" w:hAnsi="Palatino Linotype" w:cs="Times New Roman"/>
          <w:i/>
          <w:iCs/>
          <w:sz w:val="20"/>
          <w:szCs w:val="20"/>
          <w:bdr w:val="none" w:sz="0" w:space="0" w:color="auto" w:frame="1"/>
        </w:rPr>
        <w:t>Gross</w:t>
      </w:r>
      <w:r w:rsidRPr="00400368">
        <w:rPr>
          <w:rFonts w:ascii="Palatino Linotype" w:eastAsia="Times New Roman" w:hAnsi="Palatino Linotype" w:cs="Times New Roman"/>
          <w:sz w:val="20"/>
          <w:szCs w:val="20"/>
          <w:bdr w:val="none" w:sz="0" w:space="0" w:color="auto" w:frame="1"/>
        </w:rPr>
        <w:t xml:space="preserve"> (2015)</w:t>
      </w:r>
      <w:r w:rsidRPr="00400368">
        <w:rPr>
          <w:rFonts w:ascii="Palatino Linotype" w:eastAsia="Times New Roman" w:hAnsi="Palatino Linotype" w:cs="Times New Roman"/>
          <w:sz w:val="20"/>
          <w:szCs w:val="20"/>
        </w:rPr>
        <w:t> (BREYER, J., dissenting).</w:t>
      </w:r>
    </w:p>
    <w:p w14:paraId="57A5786D" w14:textId="02B1865B" w:rsidR="00E961AD" w:rsidRPr="00400368" w:rsidRDefault="00E961AD" w:rsidP="00E961A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400368">
        <w:rPr>
          <w:rFonts w:ascii="Palatino Linotype" w:eastAsia="Times New Roman" w:hAnsi="Palatino Linotype" w:cs="Times New Roman"/>
          <w:sz w:val="20"/>
          <w:szCs w:val="20"/>
        </w:rPr>
        <w:t xml:space="preserve">The first case, that of Daniel Lewis Lee, revealed the inherent arbitrariness of the death penalty. Lee was sentenced to death and his codefendant to life even though the two men committed the same crime. Lee's case also implicated the problem of excessive delay and the risk of severe and unnecessary suffering brought about by the Government's chosen method of execution.  Today's case, that of Wesley </w:t>
      </w:r>
      <w:proofErr w:type="spellStart"/>
      <w:r w:rsidRPr="00400368">
        <w:rPr>
          <w:rFonts w:ascii="Palatino Linotype" w:eastAsia="Times New Roman" w:hAnsi="Palatino Linotype" w:cs="Times New Roman"/>
          <w:sz w:val="20"/>
          <w:szCs w:val="20"/>
        </w:rPr>
        <w:t>Purkey</w:t>
      </w:r>
      <w:proofErr w:type="spellEnd"/>
      <w:r w:rsidRPr="00400368">
        <w:rPr>
          <w:rFonts w:ascii="Palatino Linotype" w:eastAsia="Times New Roman" w:hAnsi="Palatino Linotype" w:cs="Times New Roman"/>
          <w:sz w:val="20"/>
          <w:szCs w:val="20"/>
        </w:rPr>
        <w:t>, raises similar problems.</w:t>
      </w:r>
    </w:p>
    <w:p w14:paraId="0209CE2F" w14:textId="7B2B3156" w:rsidR="00E961AD" w:rsidRPr="00400368" w:rsidRDefault="00E961AD" w:rsidP="00E961A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400368">
        <w:rPr>
          <w:rFonts w:ascii="Palatino Linotype" w:eastAsia="Times New Roman" w:hAnsi="Palatino Linotype" w:cs="Times New Roman"/>
          <w:sz w:val="20"/>
          <w:szCs w:val="20"/>
        </w:rPr>
        <w:t xml:space="preserve">Consider the problem of delay. Wesley </w:t>
      </w:r>
      <w:proofErr w:type="spellStart"/>
      <w:r w:rsidRPr="00400368">
        <w:rPr>
          <w:rFonts w:ascii="Palatino Linotype" w:eastAsia="Times New Roman" w:hAnsi="Palatino Linotype" w:cs="Times New Roman"/>
          <w:sz w:val="20"/>
          <w:szCs w:val="20"/>
        </w:rPr>
        <w:t>Purkey</w:t>
      </w:r>
      <w:proofErr w:type="spellEnd"/>
      <w:r w:rsidRPr="00400368">
        <w:rPr>
          <w:rFonts w:ascii="Palatino Linotype" w:eastAsia="Times New Roman" w:hAnsi="Palatino Linotype" w:cs="Times New Roman"/>
          <w:sz w:val="20"/>
          <w:szCs w:val="20"/>
        </w:rPr>
        <w:t xml:space="preserve"> was sentenced to death over 16 years ago for a crime committed six years before that. </w:t>
      </w:r>
      <w:proofErr w:type="spellStart"/>
      <w:r w:rsidRPr="00400368">
        <w:rPr>
          <w:rFonts w:ascii="Palatino Linotype" w:eastAsia="Times New Roman" w:hAnsi="Palatino Linotype" w:cs="Times New Roman"/>
          <w:sz w:val="20"/>
          <w:szCs w:val="20"/>
        </w:rPr>
        <w:t>Purkey</w:t>
      </w:r>
      <w:proofErr w:type="spellEnd"/>
      <w:r w:rsidRPr="00400368">
        <w:rPr>
          <w:rFonts w:ascii="Palatino Linotype" w:eastAsia="Times New Roman" w:hAnsi="Palatino Linotype" w:cs="Times New Roman"/>
          <w:sz w:val="20"/>
          <w:szCs w:val="20"/>
        </w:rPr>
        <w:t xml:space="preserve"> is now 68 years old, frail, and suffering from </w:t>
      </w:r>
      <w:hyperlink r:id="rId6" w:history="1">
        <w:r w:rsidRPr="00400368">
          <w:rPr>
            <w:rFonts w:ascii="Palatino Linotype" w:eastAsia="Times New Roman" w:hAnsi="Palatino Linotype" w:cs="Times New Roman"/>
            <w:sz w:val="20"/>
            <w:szCs w:val="20"/>
            <w:bdr w:val="none" w:sz="0" w:space="0" w:color="auto" w:frame="1"/>
          </w:rPr>
          <w:t>Alzheimer's disease</w:t>
        </w:r>
      </w:hyperlink>
      <w:r w:rsidRPr="00400368">
        <w:rPr>
          <w:rFonts w:ascii="Palatino Linotype" w:eastAsia="Times New Roman" w:hAnsi="Palatino Linotype" w:cs="Times New Roman"/>
          <w:sz w:val="20"/>
          <w:szCs w:val="20"/>
        </w:rPr>
        <w:t> and other psychiatric conditions. He has undergone many years of what this Court has called the “immense mental anxiety” of confinement on death row awaiting an uncertain date of execution. </w:t>
      </w:r>
    </w:p>
    <w:p w14:paraId="4D3799B8" w14:textId="03A0D770" w:rsidR="00E961AD" w:rsidRPr="00400368" w:rsidRDefault="00E961AD" w:rsidP="00E961A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400368">
        <w:rPr>
          <w:rFonts w:ascii="Palatino Linotype" w:eastAsia="Times New Roman" w:hAnsi="Palatino Linotype" w:cs="Times New Roman"/>
          <w:sz w:val="20"/>
          <w:szCs w:val="20"/>
        </w:rPr>
        <w:lastRenderedPageBreak/>
        <w:t xml:space="preserve">The delay itself undermines the penological rationales for the death penalty: deterrence and retribution.  I have previously explained that prolonged delays likely reduce the death penalty's deterrent effect. </w:t>
      </w:r>
      <w:r w:rsidRPr="00400368">
        <w:rPr>
          <w:rFonts w:ascii="Palatino Linotype" w:eastAsia="Times New Roman" w:hAnsi="Palatino Linotype" w:cs="Times New Roman"/>
          <w:i/>
          <w:iCs/>
          <w:sz w:val="20"/>
          <w:szCs w:val="20"/>
          <w:bdr w:val="none" w:sz="0" w:space="0" w:color="auto" w:frame="1"/>
        </w:rPr>
        <w:t>Glossip</w:t>
      </w:r>
      <w:r w:rsidRPr="00400368">
        <w:rPr>
          <w:rFonts w:ascii="Palatino Linotype" w:eastAsia="Times New Roman" w:hAnsi="Palatino Linotype" w:cs="Times New Roman"/>
          <w:sz w:val="20"/>
          <w:szCs w:val="20"/>
        </w:rPr>
        <w:t xml:space="preserve">.  And after so many years have passed, executing the offender may not serve the interest in retribution either. In Lee's case, for example, the victims’ relatives explained that Lee's execution would only </w:t>
      </w:r>
      <w:proofErr w:type="gramStart"/>
      <w:r w:rsidRPr="00400368">
        <w:rPr>
          <w:rFonts w:ascii="Palatino Linotype" w:eastAsia="Times New Roman" w:hAnsi="Palatino Linotype" w:cs="Times New Roman"/>
          <w:sz w:val="20"/>
          <w:szCs w:val="20"/>
        </w:rPr>
        <w:t>“ ‘</w:t>
      </w:r>
      <w:proofErr w:type="gramEnd"/>
      <w:r w:rsidRPr="00400368">
        <w:rPr>
          <w:rFonts w:ascii="Palatino Linotype" w:eastAsia="Times New Roman" w:hAnsi="Palatino Linotype" w:cs="Times New Roman"/>
          <w:sz w:val="20"/>
          <w:szCs w:val="20"/>
        </w:rPr>
        <w:t xml:space="preserve">bring [the] family more pain.’ ” And </w:t>
      </w:r>
      <w:proofErr w:type="spellStart"/>
      <w:r w:rsidRPr="00400368">
        <w:rPr>
          <w:rFonts w:ascii="Palatino Linotype" w:eastAsia="Times New Roman" w:hAnsi="Palatino Linotype" w:cs="Times New Roman"/>
          <w:sz w:val="20"/>
          <w:szCs w:val="20"/>
        </w:rPr>
        <w:t>Purkey</w:t>
      </w:r>
      <w:proofErr w:type="spellEnd"/>
      <w:r w:rsidRPr="00400368">
        <w:rPr>
          <w:rFonts w:ascii="Palatino Linotype" w:eastAsia="Times New Roman" w:hAnsi="Palatino Linotype" w:cs="Times New Roman"/>
          <w:sz w:val="20"/>
          <w:szCs w:val="20"/>
        </w:rPr>
        <w:t xml:space="preserve"> alleges that, in the years since his sentencing, his mental condition has deteriorated to the point where he no longer understands why he is being executed. We have “question[ed] the retributive value of executing a person” under such circumstances.</w:t>
      </w:r>
    </w:p>
    <w:p w14:paraId="69110DF9" w14:textId="0E750A8C" w:rsidR="00E961AD" w:rsidRPr="00400368" w:rsidRDefault="00E961AD" w:rsidP="00E961AD">
      <w:pPr>
        <w:shd w:val="clear" w:color="auto" w:fill="FFFFFF"/>
        <w:spacing w:after="0" w:line="240" w:lineRule="auto"/>
        <w:ind w:firstLine="720"/>
        <w:textAlignment w:val="baseline"/>
        <w:rPr>
          <w:rFonts w:ascii="Palatino Linotype" w:eastAsia="Times New Roman" w:hAnsi="Palatino Linotype" w:cs="Times New Roman"/>
          <w:sz w:val="20"/>
          <w:szCs w:val="20"/>
        </w:rPr>
      </w:pPr>
      <w:proofErr w:type="spellStart"/>
      <w:r w:rsidRPr="00400368">
        <w:rPr>
          <w:rFonts w:ascii="Palatino Linotype" w:eastAsia="Times New Roman" w:hAnsi="Palatino Linotype" w:cs="Times New Roman"/>
          <w:sz w:val="20"/>
          <w:szCs w:val="20"/>
        </w:rPr>
        <w:t>Purkey's</w:t>
      </w:r>
      <w:proofErr w:type="spellEnd"/>
      <w:r w:rsidRPr="00400368">
        <w:rPr>
          <w:rFonts w:ascii="Palatino Linotype" w:eastAsia="Times New Roman" w:hAnsi="Palatino Linotype" w:cs="Times New Roman"/>
          <w:sz w:val="20"/>
          <w:szCs w:val="20"/>
        </w:rPr>
        <w:t xml:space="preserve"> case also raises serious problems of proper procedure. Simplifying the problem, imagine that a death-sentenced defendant's trial or sentencing suffered from his lawyer's constitutionally inadequate performance. Suppose too that his lawyer in his initial habeas proceeding was himself inadequate because he failed to raise the trial lawyer's initial constitutional inadequacy. Can the defendant bring the matter up in </w:t>
      </w:r>
      <w:proofErr w:type="gramStart"/>
      <w:r w:rsidRPr="00400368">
        <w:rPr>
          <w:rFonts w:ascii="Palatino Linotype" w:eastAsia="Times New Roman" w:hAnsi="Palatino Linotype" w:cs="Times New Roman"/>
          <w:sz w:val="20"/>
          <w:szCs w:val="20"/>
        </w:rPr>
        <w:t>a later habeas</w:t>
      </w:r>
      <w:proofErr w:type="gramEnd"/>
      <w:r w:rsidRPr="00400368">
        <w:rPr>
          <w:rFonts w:ascii="Palatino Linotype" w:eastAsia="Times New Roman" w:hAnsi="Palatino Linotype" w:cs="Times New Roman"/>
          <w:sz w:val="20"/>
          <w:szCs w:val="20"/>
        </w:rPr>
        <w:t xml:space="preserve"> proceeding, say, a proceeding where he now has a better lawyer? He can sometimes do so where a state conviction is at issue. But can he do so where, as here, a federal conviction is at issue? In my view, the question, as presented here, is difficult. On the one hand, we ought not to have a procedural system where challenges to a conviction can go on endlessly. On the other hand, is it consistent with criminal justice principles to allow the execution of a defendant whose conviction rests upon the constitutional inadequacy of a lawyer, when no court has ever adjudicated that inadequacy?</w:t>
      </w:r>
    </w:p>
    <w:p w14:paraId="4E51EA0A" w14:textId="3B225FC5" w:rsidR="00E961AD" w:rsidRPr="00400368" w:rsidRDefault="00E961AD" w:rsidP="00E961A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400368">
        <w:rPr>
          <w:rFonts w:ascii="Palatino Linotype" w:eastAsia="Times New Roman" w:hAnsi="Palatino Linotype" w:cs="Times New Roman"/>
          <w:sz w:val="20"/>
          <w:szCs w:val="20"/>
        </w:rPr>
        <w:t>The question reflects the heightened need for reliability in the death penalty context. The risk of error that we may accept as necessary to the functioning of the system more generally is less tolerable when the punishment is, by definition, irreparable. Yet the requisite opportunities to challenge and then correct errors necessarily entail delay that, in turn, undercuts the penological rationale for the death penalty. In this context, it is especially difficult to reconcile the competing values of finality and accuracy.</w:t>
      </w:r>
    </w:p>
    <w:p w14:paraId="378C60A5" w14:textId="4CEE24AB" w:rsidR="00E961AD" w:rsidRPr="00400368" w:rsidRDefault="00E961AD" w:rsidP="00E961A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400368">
        <w:rPr>
          <w:rFonts w:ascii="Palatino Linotype" w:eastAsia="Times New Roman" w:hAnsi="Palatino Linotype" w:cs="Times New Roman"/>
          <w:sz w:val="20"/>
          <w:szCs w:val="20"/>
        </w:rPr>
        <w:t>. . . . A modern system of criminal justice must be reasonably accurate, fair, humane, and timely. Our recent experience with the Federal Government's resumption of executions adds to the mounting body of evidence that the death penalty cannot be reconciled with those values. I remain convinced of the importance of reconsidering the constitutionality of the death penalty itself.</w:t>
      </w:r>
    </w:p>
    <w:p w14:paraId="40991495" w14:textId="77777777" w:rsidR="00E961AD" w:rsidRPr="00400368" w:rsidRDefault="00E961AD" w:rsidP="00E961AD">
      <w:pPr>
        <w:shd w:val="clear" w:color="auto" w:fill="FFFFFF"/>
        <w:spacing w:after="0" w:line="240" w:lineRule="auto"/>
        <w:textAlignment w:val="baseline"/>
        <w:rPr>
          <w:rFonts w:ascii="Palatino Linotype" w:eastAsia="Times New Roman" w:hAnsi="Palatino Linotype" w:cs="Times New Roman"/>
          <w:sz w:val="20"/>
          <w:szCs w:val="20"/>
        </w:rPr>
      </w:pPr>
    </w:p>
    <w:p w14:paraId="1F6459B5" w14:textId="670186B1" w:rsidR="00E961AD" w:rsidRPr="00400368" w:rsidRDefault="00E961AD" w:rsidP="00E961AD">
      <w:pPr>
        <w:shd w:val="clear" w:color="auto" w:fill="FFFFFF"/>
        <w:spacing w:after="0" w:line="240" w:lineRule="auto"/>
        <w:textAlignment w:val="baseline"/>
        <w:rPr>
          <w:rFonts w:ascii="Palatino Linotype" w:eastAsia="Times New Roman" w:hAnsi="Palatino Linotype" w:cs="Times New Roman"/>
          <w:sz w:val="20"/>
          <w:szCs w:val="20"/>
        </w:rPr>
      </w:pPr>
      <w:r w:rsidRPr="00400368">
        <w:rPr>
          <w:rFonts w:ascii="Palatino Linotype" w:eastAsia="Times New Roman" w:hAnsi="Palatino Linotype" w:cs="Times New Roman"/>
          <w:sz w:val="20"/>
          <w:szCs w:val="20"/>
        </w:rPr>
        <w:t>Justice </w:t>
      </w:r>
      <w:hyperlink r:id="rId7" w:history="1">
        <w:r w:rsidRPr="00400368">
          <w:rPr>
            <w:rFonts w:ascii="Palatino Linotype" w:eastAsia="Times New Roman" w:hAnsi="Palatino Linotype" w:cs="Times New Roman"/>
            <w:sz w:val="20"/>
            <w:szCs w:val="20"/>
            <w:bdr w:val="none" w:sz="0" w:space="0" w:color="auto" w:frame="1"/>
          </w:rPr>
          <w:t>SOTOMAYOR</w:t>
        </w:r>
      </w:hyperlink>
      <w:r w:rsidRPr="00400368">
        <w:rPr>
          <w:rFonts w:ascii="Palatino Linotype" w:eastAsia="Times New Roman" w:hAnsi="Palatino Linotype" w:cs="Times New Roman"/>
          <w:sz w:val="20"/>
          <w:szCs w:val="20"/>
        </w:rPr>
        <w:t>, with whom Justice </w:t>
      </w:r>
      <w:hyperlink r:id="rId8" w:history="1">
        <w:r w:rsidRPr="00400368">
          <w:rPr>
            <w:rFonts w:ascii="Palatino Linotype" w:eastAsia="Times New Roman" w:hAnsi="Palatino Linotype" w:cs="Times New Roman"/>
            <w:sz w:val="20"/>
            <w:szCs w:val="20"/>
            <w:bdr w:val="none" w:sz="0" w:space="0" w:color="auto" w:frame="1"/>
          </w:rPr>
          <w:t>GINSBURG</w:t>
        </w:r>
      </w:hyperlink>
      <w:r w:rsidRPr="00400368">
        <w:rPr>
          <w:rFonts w:ascii="Palatino Linotype" w:eastAsia="Times New Roman" w:hAnsi="Palatino Linotype" w:cs="Times New Roman"/>
          <w:sz w:val="20"/>
          <w:szCs w:val="20"/>
        </w:rPr>
        <w:t>, Justice </w:t>
      </w:r>
      <w:hyperlink r:id="rId9" w:history="1">
        <w:r w:rsidRPr="00400368">
          <w:rPr>
            <w:rFonts w:ascii="Palatino Linotype" w:eastAsia="Times New Roman" w:hAnsi="Palatino Linotype" w:cs="Times New Roman"/>
            <w:sz w:val="20"/>
            <w:szCs w:val="20"/>
            <w:bdr w:val="none" w:sz="0" w:space="0" w:color="auto" w:frame="1"/>
          </w:rPr>
          <w:t>BREYER</w:t>
        </w:r>
      </w:hyperlink>
      <w:r w:rsidRPr="00400368">
        <w:rPr>
          <w:rFonts w:ascii="Palatino Linotype" w:eastAsia="Times New Roman" w:hAnsi="Palatino Linotype" w:cs="Times New Roman"/>
          <w:sz w:val="20"/>
          <w:szCs w:val="20"/>
        </w:rPr>
        <w:t>, and Justice </w:t>
      </w:r>
      <w:hyperlink r:id="rId10" w:history="1">
        <w:r w:rsidRPr="00400368">
          <w:rPr>
            <w:rFonts w:ascii="Palatino Linotype" w:eastAsia="Times New Roman" w:hAnsi="Palatino Linotype" w:cs="Times New Roman"/>
            <w:sz w:val="20"/>
            <w:szCs w:val="20"/>
            <w:bdr w:val="none" w:sz="0" w:space="0" w:color="auto" w:frame="1"/>
          </w:rPr>
          <w:t>KAGAN</w:t>
        </w:r>
      </w:hyperlink>
      <w:r w:rsidRPr="00400368">
        <w:rPr>
          <w:rFonts w:ascii="Palatino Linotype" w:eastAsia="Times New Roman" w:hAnsi="Palatino Linotype" w:cs="Times New Roman"/>
          <w:sz w:val="20"/>
          <w:szCs w:val="20"/>
        </w:rPr>
        <w:t> join, dissenting.</w:t>
      </w:r>
    </w:p>
    <w:p w14:paraId="59F4CDBC" w14:textId="77777777" w:rsidR="00E961AD" w:rsidRPr="00400368" w:rsidRDefault="00E961AD" w:rsidP="00E961AD">
      <w:pPr>
        <w:shd w:val="clear" w:color="auto" w:fill="FFFFFF"/>
        <w:spacing w:after="0" w:line="240" w:lineRule="auto"/>
        <w:textAlignment w:val="baseline"/>
        <w:rPr>
          <w:rFonts w:ascii="Palatino Linotype" w:eastAsia="Times New Roman" w:hAnsi="Palatino Linotype" w:cs="Times New Roman"/>
          <w:sz w:val="20"/>
          <w:szCs w:val="20"/>
        </w:rPr>
      </w:pPr>
    </w:p>
    <w:p w14:paraId="67D23E55" w14:textId="3C061B73" w:rsidR="00E961AD" w:rsidRPr="00400368" w:rsidRDefault="00E961AD" w:rsidP="00E961AD">
      <w:pPr>
        <w:shd w:val="clear" w:color="auto" w:fill="FFFFFF"/>
        <w:spacing w:after="0" w:line="240" w:lineRule="auto"/>
        <w:textAlignment w:val="baseline"/>
        <w:rPr>
          <w:rFonts w:ascii="Palatino Linotype" w:eastAsia="Times New Roman" w:hAnsi="Palatino Linotype" w:cs="Times New Roman"/>
          <w:sz w:val="20"/>
          <w:szCs w:val="20"/>
        </w:rPr>
      </w:pPr>
      <w:r w:rsidRPr="00400368">
        <w:rPr>
          <w:rFonts w:ascii="Palatino Linotype" w:eastAsia="Times New Roman" w:hAnsi="Palatino Linotype" w:cs="Times New Roman"/>
          <w:sz w:val="20"/>
          <w:szCs w:val="20"/>
        </w:rPr>
        <w:t xml:space="preserve">In a matter of hours, the Government plans to put to death Wesley </w:t>
      </w:r>
      <w:proofErr w:type="spellStart"/>
      <w:r w:rsidRPr="00400368">
        <w:rPr>
          <w:rFonts w:ascii="Palatino Linotype" w:eastAsia="Times New Roman" w:hAnsi="Palatino Linotype" w:cs="Times New Roman"/>
          <w:sz w:val="20"/>
          <w:szCs w:val="20"/>
        </w:rPr>
        <w:t>Purkey</w:t>
      </w:r>
      <w:proofErr w:type="spellEnd"/>
      <w:r w:rsidRPr="00400368">
        <w:rPr>
          <w:rFonts w:ascii="Palatino Linotype" w:eastAsia="Times New Roman" w:hAnsi="Palatino Linotype" w:cs="Times New Roman"/>
          <w:sz w:val="20"/>
          <w:szCs w:val="20"/>
        </w:rPr>
        <w:t>, a 68-year-old federal inmate who has </w:t>
      </w:r>
      <w:hyperlink r:id="rId11" w:history="1">
        <w:r w:rsidRPr="00400368">
          <w:rPr>
            <w:rFonts w:ascii="Palatino Linotype" w:eastAsia="Times New Roman" w:hAnsi="Palatino Linotype" w:cs="Times New Roman"/>
            <w:sz w:val="20"/>
            <w:szCs w:val="20"/>
            <w:bdr w:val="none" w:sz="0" w:space="0" w:color="auto" w:frame="1"/>
          </w:rPr>
          <w:t>Alzheimer's disease</w:t>
        </w:r>
      </w:hyperlink>
      <w:r w:rsidRPr="00400368">
        <w:rPr>
          <w:rFonts w:ascii="Palatino Linotype" w:eastAsia="Times New Roman" w:hAnsi="Palatino Linotype" w:cs="Times New Roman"/>
          <w:sz w:val="20"/>
          <w:szCs w:val="20"/>
        </w:rPr>
        <w:t xml:space="preserve"> and, according to a recent in-person evaluation by a forensic psychiatrist, “lack[s] a rational understanding of the basis for his execution.” Due to these developments and rapid deteriorations in </w:t>
      </w:r>
      <w:proofErr w:type="spellStart"/>
      <w:r w:rsidRPr="00400368">
        <w:rPr>
          <w:rFonts w:ascii="Palatino Linotype" w:eastAsia="Times New Roman" w:hAnsi="Palatino Linotype" w:cs="Times New Roman"/>
          <w:sz w:val="20"/>
          <w:szCs w:val="20"/>
        </w:rPr>
        <w:t>Purkey's</w:t>
      </w:r>
      <w:proofErr w:type="spellEnd"/>
      <w:r w:rsidRPr="00400368">
        <w:rPr>
          <w:rFonts w:ascii="Palatino Linotype" w:eastAsia="Times New Roman" w:hAnsi="Palatino Linotype" w:cs="Times New Roman"/>
          <w:sz w:val="20"/>
          <w:szCs w:val="20"/>
        </w:rPr>
        <w:t xml:space="preserve"> mental state, his counsel filed an action in the United States District Court for the District of Columbia. The complaint alleges that under </w:t>
      </w:r>
      <w:r w:rsidRPr="00400368">
        <w:rPr>
          <w:rFonts w:ascii="Palatino Linotype" w:eastAsia="Times New Roman" w:hAnsi="Palatino Linotype" w:cs="Times New Roman"/>
          <w:i/>
          <w:iCs/>
          <w:sz w:val="20"/>
          <w:szCs w:val="20"/>
          <w:bdr w:val="none" w:sz="0" w:space="0" w:color="auto" w:frame="1"/>
        </w:rPr>
        <w:t>Ford v. Wainwright</w:t>
      </w:r>
      <w:r w:rsidRPr="00400368">
        <w:rPr>
          <w:rFonts w:ascii="Palatino Linotype" w:eastAsia="Times New Roman" w:hAnsi="Palatino Linotype" w:cs="Times New Roman"/>
          <w:sz w:val="20"/>
          <w:szCs w:val="20"/>
          <w:bdr w:val="none" w:sz="0" w:space="0" w:color="auto" w:frame="1"/>
        </w:rPr>
        <w:t xml:space="preserve"> (1986)</w:t>
      </w:r>
      <w:r w:rsidRPr="00400368">
        <w:rPr>
          <w:rFonts w:ascii="Palatino Linotype" w:eastAsia="Times New Roman" w:hAnsi="Palatino Linotype" w:cs="Times New Roman"/>
          <w:sz w:val="20"/>
          <w:szCs w:val="20"/>
        </w:rPr>
        <w:t xml:space="preserve">, </w:t>
      </w:r>
      <w:proofErr w:type="spellStart"/>
      <w:r w:rsidRPr="00400368">
        <w:rPr>
          <w:rFonts w:ascii="Palatino Linotype" w:eastAsia="Times New Roman" w:hAnsi="Palatino Linotype" w:cs="Times New Roman"/>
          <w:sz w:val="20"/>
          <w:szCs w:val="20"/>
        </w:rPr>
        <w:t>Purkey</w:t>
      </w:r>
      <w:proofErr w:type="spellEnd"/>
      <w:r w:rsidRPr="00400368">
        <w:rPr>
          <w:rFonts w:ascii="Palatino Linotype" w:eastAsia="Times New Roman" w:hAnsi="Palatino Linotype" w:cs="Times New Roman"/>
          <w:sz w:val="20"/>
          <w:szCs w:val="20"/>
        </w:rPr>
        <w:t xml:space="preserve"> is mentally incompetent to be executed and, at minimum, is entitled to an evidentiary hearing to evaluate his mental competence before the Government proceeds with his execution. The District Court below preliminarily enjoined </w:t>
      </w:r>
      <w:proofErr w:type="spellStart"/>
      <w:r w:rsidRPr="00400368">
        <w:rPr>
          <w:rFonts w:ascii="Palatino Linotype" w:eastAsia="Times New Roman" w:hAnsi="Palatino Linotype" w:cs="Times New Roman"/>
          <w:sz w:val="20"/>
          <w:szCs w:val="20"/>
        </w:rPr>
        <w:t>Purkey's</w:t>
      </w:r>
      <w:proofErr w:type="spellEnd"/>
      <w:r w:rsidRPr="00400368">
        <w:rPr>
          <w:rFonts w:ascii="Palatino Linotype" w:eastAsia="Times New Roman" w:hAnsi="Palatino Linotype" w:cs="Times New Roman"/>
          <w:sz w:val="20"/>
          <w:szCs w:val="20"/>
        </w:rPr>
        <w:t xml:space="preserve"> execution, finding that the evidence </w:t>
      </w:r>
      <w:proofErr w:type="spellStart"/>
      <w:r w:rsidRPr="00400368">
        <w:rPr>
          <w:rFonts w:ascii="Palatino Linotype" w:eastAsia="Times New Roman" w:hAnsi="Palatino Linotype" w:cs="Times New Roman"/>
          <w:sz w:val="20"/>
          <w:szCs w:val="20"/>
        </w:rPr>
        <w:t>Purkey</w:t>
      </w:r>
      <w:proofErr w:type="spellEnd"/>
      <w:r w:rsidRPr="00400368">
        <w:rPr>
          <w:rFonts w:ascii="Palatino Linotype" w:eastAsia="Times New Roman" w:hAnsi="Palatino Linotype" w:cs="Times New Roman"/>
          <w:sz w:val="20"/>
          <w:szCs w:val="20"/>
        </w:rPr>
        <w:t xml:space="preserve"> has put forth thus far established a likelihood of success on the merits of his claims. The Government now seeks a stay or vacatur of that preliminary injunction.</w:t>
      </w:r>
    </w:p>
    <w:p w14:paraId="07AE2AF5" w14:textId="1C11BE31" w:rsidR="00E961AD" w:rsidRPr="00400368" w:rsidRDefault="00E961AD" w:rsidP="00E961A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400368">
        <w:rPr>
          <w:rFonts w:ascii="Palatino Linotype" w:eastAsia="Times New Roman" w:hAnsi="Palatino Linotype" w:cs="Times New Roman"/>
          <w:sz w:val="20"/>
          <w:szCs w:val="20"/>
        </w:rPr>
        <w:t>Such a stay is available “only under extraordinary circumstances.”  Accordingly, “[w]hen a matter is pending before a court of appeals, it long has been the practice of Members of this Court to grant stay applications only ‘upon the weightiest considerations.</w:t>
      </w:r>
      <w:proofErr w:type="gramStart"/>
      <w:r w:rsidRPr="00400368">
        <w:rPr>
          <w:rFonts w:ascii="Palatino Linotype" w:eastAsia="Times New Roman" w:hAnsi="Palatino Linotype" w:cs="Times New Roman"/>
          <w:sz w:val="20"/>
          <w:szCs w:val="20"/>
        </w:rPr>
        <w:t>’ ”</w:t>
      </w:r>
      <w:proofErr w:type="gramEnd"/>
      <w:r w:rsidRPr="00400368">
        <w:rPr>
          <w:rFonts w:ascii="Palatino Linotype" w:eastAsia="Times New Roman" w:hAnsi="Palatino Linotype" w:cs="Times New Roman"/>
          <w:sz w:val="20"/>
          <w:szCs w:val="20"/>
        </w:rPr>
        <w:t> Given the District Court's thorough analysis, and the serious questions that court raised, I do not believe the Government has carried its “especially heavy” burden here. </w:t>
      </w:r>
    </w:p>
    <w:p w14:paraId="3FB2B7F2" w14:textId="68FAEA19" w:rsidR="00E961AD" w:rsidRPr="00400368" w:rsidRDefault="00E961AD" w:rsidP="00E961A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400368">
        <w:rPr>
          <w:rFonts w:ascii="Palatino Linotype" w:eastAsia="Times New Roman" w:hAnsi="Palatino Linotype" w:cs="Times New Roman"/>
          <w:sz w:val="20"/>
          <w:szCs w:val="20"/>
        </w:rPr>
        <w:t xml:space="preserve">The Government devotes much of its application to arguing that </w:t>
      </w:r>
      <w:proofErr w:type="spellStart"/>
      <w:r w:rsidRPr="00400368">
        <w:rPr>
          <w:rFonts w:ascii="Palatino Linotype" w:eastAsia="Times New Roman" w:hAnsi="Palatino Linotype" w:cs="Times New Roman"/>
          <w:sz w:val="20"/>
          <w:szCs w:val="20"/>
        </w:rPr>
        <w:t>Purkey's</w:t>
      </w:r>
      <w:proofErr w:type="spellEnd"/>
      <w:r w:rsidRPr="00400368">
        <w:rPr>
          <w:rFonts w:ascii="Palatino Linotype" w:eastAsia="Times New Roman" w:hAnsi="Palatino Linotype" w:cs="Times New Roman"/>
          <w:sz w:val="20"/>
          <w:szCs w:val="20"/>
        </w:rPr>
        <w:t xml:space="preserve"> complaint alleges “core habeas” claims that he was required to bring in his district of confinement, the Southern District of </w:t>
      </w:r>
      <w:r w:rsidRPr="00400368">
        <w:rPr>
          <w:rFonts w:ascii="Palatino Linotype" w:eastAsia="Times New Roman" w:hAnsi="Palatino Linotype" w:cs="Times New Roman"/>
          <w:sz w:val="20"/>
          <w:szCs w:val="20"/>
        </w:rPr>
        <w:lastRenderedPageBreak/>
        <w:t>Indiana, rather than the district in which several federal officers responsible for his execution are located, the District of Columbia. That is not clearly correct: When an individual advances a </w:t>
      </w:r>
      <w:hyperlink r:id="rId12" w:history="1">
        <w:r w:rsidRPr="00400368">
          <w:rPr>
            <w:rFonts w:ascii="Palatino Linotype" w:eastAsia="Times New Roman" w:hAnsi="Palatino Linotype" w:cs="Times New Roman"/>
            <w:i/>
            <w:iCs/>
            <w:sz w:val="20"/>
            <w:szCs w:val="20"/>
            <w:bdr w:val="none" w:sz="0" w:space="0" w:color="auto" w:frame="1"/>
          </w:rPr>
          <w:t>Ford </w:t>
        </w:r>
      </w:hyperlink>
      <w:r w:rsidRPr="00400368">
        <w:rPr>
          <w:rFonts w:ascii="Palatino Linotype" w:eastAsia="Times New Roman" w:hAnsi="Palatino Linotype" w:cs="Times New Roman"/>
          <w:sz w:val="20"/>
          <w:szCs w:val="20"/>
        </w:rPr>
        <w:t>claim, “the only question raised is not whether, but when, his execution may take place.” </w:t>
      </w:r>
      <w:r w:rsidR="005F5D1C" w:rsidRPr="00400368">
        <w:rPr>
          <w:rFonts w:ascii="Palatino Linotype" w:eastAsia="Times New Roman" w:hAnsi="Palatino Linotype" w:cs="Times New Roman"/>
          <w:sz w:val="20"/>
          <w:szCs w:val="20"/>
        </w:rPr>
        <w:t xml:space="preserve"> </w:t>
      </w:r>
      <w:r w:rsidRPr="00400368">
        <w:rPr>
          <w:rFonts w:ascii="Palatino Linotype" w:eastAsia="Times New Roman" w:hAnsi="Palatino Linotype" w:cs="Times New Roman"/>
          <w:sz w:val="20"/>
          <w:szCs w:val="20"/>
        </w:rPr>
        <w:t xml:space="preserve">That seems to make </w:t>
      </w:r>
      <w:proofErr w:type="spellStart"/>
      <w:r w:rsidRPr="00400368">
        <w:rPr>
          <w:rFonts w:ascii="Palatino Linotype" w:eastAsia="Times New Roman" w:hAnsi="Palatino Linotype" w:cs="Times New Roman"/>
          <w:sz w:val="20"/>
          <w:szCs w:val="20"/>
        </w:rPr>
        <w:t>Purkey's</w:t>
      </w:r>
      <w:proofErr w:type="spellEnd"/>
      <w:r w:rsidRPr="00400368">
        <w:rPr>
          <w:rFonts w:ascii="Palatino Linotype" w:eastAsia="Times New Roman" w:hAnsi="Palatino Linotype" w:cs="Times New Roman"/>
          <w:sz w:val="20"/>
          <w:szCs w:val="20"/>
        </w:rPr>
        <w:t xml:space="preserve"> allegations more akin to a method-of-execution claim than a “core habeas” claim challenging the validity of his death sentence. In any event, the Government's objection here is not that </w:t>
      </w:r>
      <w:proofErr w:type="spellStart"/>
      <w:r w:rsidRPr="00400368">
        <w:rPr>
          <w:rFonts w:ascii="Palatino Linotype" w:eastAsia="Times New Roman" w:hAnsi="Palatino Linotype" w:cs="Times New Roman"/>
          <w:sz w:val="20"/>
          <w:szCs w:val="20"/>
        </w:rPr>
        <w:t>Purkey</w:t>
      </w:r>
      <w:proofErr w:type="spellEnd"/>
      <w:r w:rsidRPr="00400368">
        <w:rPr>
          <w:rFonts w:ascii="Palatino Linotype" w:eastAsia="Times New Roman" w:hAnsi="Palatino Linotype" w:cs="Times New Roman"/>
          <w:sz w:val="20"/>
          <w:szCs w:val="20"/>
        </w:rPr>
        <w:t xml:space="preserve"> failed to raise a valid claim prohibiting his execution. Instead, the Government quibbles principally with the venue in which </w:t>
      </w:r>
      <w:proofErr w:type="spellStart"/>
      <w:r w:rsidRPr="00400368">
        <w:rPr>
          <w:rFonts w:ascii="Palatino Linotype" w:eastAsia="Times New Roman" w:hAnsi="Palatino Linotype" w:cs="Times New Roman"/>
          <w:sz w:val="20"/>
          <w:szCs w:val="20"/>
        </w:rPr>
        <w:t>Purkey</w:t>
      </w:r>
      <w:proofErr w:type="spellEnd"/>
      <w:r w:rsidRPr="00400368">
        <w:rPr>
          <w:rFonts w:ascii="Palatino Linotype" w:eastAsia="Times New Roman" w:hAnsi="Palatino Linotype" w:cs="Times New Roman"/>
          <w:sz w:val="20"/>
          <w:szCs w:val="20"/>
        </w:rPr>
        <w:t xml:space="preserve"> filed that claim. In this posture, that protest does not reflect an “extraordinary </w:t>
      </w:r>
      <w:proofErr w:type="spellStart"/>
      <w:proofErr w:type="gramStart"/>
      <w:r w:rsidRPr="00400368">
        <w:rPr>
          <w:rFonts w:ascii="Palatino Linotype" w:eastAsia="Times New Roman" w:hAnsi="Palatino Linotype" w:cs="Times New Roman"/>
          <w:sz w:val="20"/>
          <w:szCs w:val="20"/>
        </w:rPr>
        <w:t>circumstanc</w:t>
      </w:r>
      <w:proofErr w:type="spellEnd"/>
      <w:r w:rsidRPr="00400368">
        <w:rPr>
          <w:rFonts w:ascii="Palatino Linotype" w:eastAsia="Times New Roman" w:hAnsi="Palatino Linotype" w:cs="Times New Roman"/>
          <w:sz w:val="20"/>
          <w:szCs w:val="20"/>
        </w:rPr>
        <w:t>[</w:t>
      </w:r>
      <w:proofErr w:type="gramEnd"/>
      <w:r w:rsidRPr="00400368">
        <w:rPr>
          <w:rFonts w:ascii="Palatino Linotype" w:eastAsia="Times New Roman" w:hAnsi="Palatino Linotype" w:cs="Times New Roman"/>
          <w:sz w:val="20"/>
          <w:szCs w:val="20"/>
        </w:rPr>
        <w:t>e ]” that justifies overturning a preliminary injunction. Nor does it support this Court's decision to shortcut judicial review and permit the execution of an individual who may well be incompetent.</w:t>
      </w:r>
    </w:p>
    <w:p w14:paraId="07DA1D95" w14:textId="77777777" w:rsidR="005F5D1C" w:rsidRPr="00400368" w:rsidRDefault="005F5D1C" w:rsidP="00E961A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400368">
        <w:rPr>
          <w:rFonts w:ascii="Palatino Linotype" w:eastAsia="Times New Roman" w:hAnsi="Palatino Linotype" w:cs="Times New Roman"/>
          <w:sz w:val="20"/>
          <w:szCs w:val="20"/>
        </w:rPr>
        <w:t>. . . .</w:t>
      </w:r>
    </w:p>
    <w:p w14:paraId="414F11B8" w14:textId="562398EB" w:rsidR="00E961AD" w:rsidRPr="00400368" w:rsidRDefault="005F5D1C" w:rsidP="00E961A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400368">
        <w:rPr>
          <w:rFonts w:ascii="Palatino Linotype" w:eastAsia="Times New Roman" w:hAnsi="Palatino Linotype" w:cs="Times New Roman"/>
          <w:sz w:val="20"/>
          <w:szCs w:val="20"/>
        </w:rPr>
        <w:t>. . . .</w:t>
      </w:r>
      <w:r w:rsidR="00E961AD" w:rsidRPr="00400368">
        <w:rPr>
          <w:rFonts w:ascii="Palatino Linotype" w:eastAsia="Times New Roman" w:hAnsi="Palatino Linotype" w:cs="Times New Roman"/>
          <w:sz w:val="20"/>
          <w:szCs w:val="20"/>
        </w:rPr>
        <w:t xml:space="preserve"> “</w:t>
      </w:r>
      <w:r w:rsidRPr="00400368">
        <w:rPr>
          <w:rFonts w:ascii="Palatino Linotype" w:eastAsia="Times New Roman" w:hAnsi="Palatino Linotype" w:cs="Times New Roman"/>
          <w:sz w:val="20"/>
          <w:szCs w:val="20"/>
        </w:rPr>
        <w:t>[T]</w:t>
      </w:r>
      <w:r w:rsidR="00E961AD" w:rsidRPr="00400368">
        <w:rPr>
          <w:rFonts w:ascii="Palatino Linotype" w:eastAsia="Times New Roman" w:hAnsi="Palatino Linotype" w:cs="Times New Roman"/>
          <w:sz w:val="20"/>
          <w:szCs w:val="20"/>
        </w:rPr>
        <w:t xml:space="preserve">he </w:t>
      </w:r>
      <w:proofErr w:type="gramStart"/>
      <w:r w:rsidR="00E961AD" w:rsidRPr="00400368">
        <w:rPr>
          <w:rFonts w:ascii="Palatino Linotype" w:eastAsia="Times New Roman" w:hAnsi="Palatino Linotype" w:cs="Times New Roman"/>
          <w:sz w:val="20"/>
          <w:szCs w:val="20"/>
        </w:rPr>
        <w:t>question</w:t>
      </w:r>
      <w:proofErr w:type="gramEnd"/>
      <w:r w:rsidR="00E961AD" w:rsidRPr="00400368">
        <w:rPr>
          <w:rFonts w:ascii="Palatino Linotype" w:eastAsia="Times New Roman" w:hAnsi="Palatino Linotype" w:cs="Times New Roman"/>
          <w:sz w:val="20"/>
          <w:szCs w:val="20"/>
        </w:rPr>
        <w:t xml:space="preserve"> of the proper location for a habeas petition is best understood as a question of personal jurisdiction or venue” rather than of subject-matter jurisdiction.  Whether </w:t>
      </w:r>
      <w:proofErr w:type="spellStart"/>
      <w:r w:rsidR="00E961AD" w:rsidRPr="00400368">
        <w:rPr>
          <w:rFonts w:ascii="Palatino Linotype" w:eastAsia="Times New Roman" w:hAnsi="Palatino Linotype" w:cs="Times New Roman"/>
          <w:sz w:val="20"/>
          <w:szCs w:val="20"/>
        </w:rPr>
        <w:t>Purkey</w:t>
      </w:r>
      <w:proofErr w:type="spellEnd"/>
      <w:r w:rsidR="00E961AD" w:rsidRPr="00400368">
        <w:rPr>
          <w:rFonts w:ascii="Palatino Linotype" w:eastAsia="Times New Roman" w:hAnsi="Palatino Linotype" w:cs="Times New Roman"/>
          <w:sz w:val="20"/>
          <w:szCs w:val="20"/>
        </w:rPr>
        <w:t xml:space="preserve"> should have filed in the District of Columbia or the Southern District of Indiana, it would be passingly strange to maintain, in the final hours before his capital sentence is to be carried out, that his selection of venue should automatically prevent him from developing what the District Court found to be a likely meritorious </w:t>
      </w:r>
      <w:hyperlink r:id="rId13" w:history="1">
        <w:r w:rsidR="00E961AD" w:rsidRPr="00400368">
          <w:rPr>
            <w:rFonts w:ascii="Palatino Linotype" w:eastAsia="Times New Roman" w:hAnsi="Palatino Linotype" w:cs="Times New Roman"/>
            <w:i/>
            <w:iCs/>
            <w:sz w:val="20"/>
            <w:szCs w:val="20"/>
            <w:bdr w:val="none" w:sz="0" w:space="0" w:color="auto" w:frame="1"/>
          </w:rPr>
          <w:t>Ford</w:t>
        </w:r>
      </w:hyperlink>
      <w:r w:rsidR="00E961AD" w:rsidRPr="00400368">
        <w:rPr>
          <w:rFonts w:ascii="Palatino Linotype" w:eastAsia="Times New Roman" w:hAnsi="Palatino Linotype" w:cs="Times New Roman"/>
          <w:sz w:val="20"/>
          <w:szCs w:val="20"/>
        </w:rPr>
        <w:t> claim and request for a competency hearing. At a minimum, the Government has not carried its “especially heavy” burden of demonstrating that its “core habeas” argument presents a jurisdictional impediment to the District Court's preliminary injunction.</w:t>
      </w:r>
    </w:p>
    <w:p w14:paraId="1167A107" w14:textId="6C74536A" w:rsidR="00E961AD" w:rsidRPr="00400368" w:rsidRDefault="005F5D1C" w:rsidP="00E961A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400368">
        <w:rPr>
          <w:rFonts w:ascii="Palatino Linotype" w:eastAsia="Times New Roman" w:hAnsi="Palatino Linotype" w:cs="Times New Roman"/>
          <w:sz w:val="20"/>
          <w:szCs w:val="20"/>
        </w:rPr>
        <w:t>. . . . [T]</w:t>
      </w:r>
      <w:r w:rsidR="00E961AD" w:rsidRPr="00400368">
        <w:rPr>
          <w:rFonts w:ascii="Palatino Linotype" w:eastAsia="Times New Roman" w:hAnsi="Palatino Linotype" w:cs="Times New Roman"/>
          <w:sz w:val="20"/>
          <w:szCs w:val="20"/>
        </w:rPr>
        <w:t xml:space="preserve">the Government has not come close to showing that the District Court erred in finding </w:t>
      </w:r>
      <w:proofErr w:type="spellStart"/>
      <w:r w:rsidR="00E961AD" w:rsidRPr="00400368">
        <w:rPr>
          <w:rFonts w:ascii="Palatino Linotype" w:eastAsia="Times New Roman" w:hAnsi="Palatino Linotype" w:cs="Times New Roman"/>
          <w:sz w:val="20"/>
          <w:szCs w:val="20"/>
        </w:rPr>
        <w:t>Purkey</w:t>
      </w:r>
      <w:proofErr w:type="spellEnd"/>
      <w:r w:rsidR="00E961AD" w:rsidRPr="00400368">
        <w:rPr>
          <w:rFonts w:ascii="Palatino Linotype" w:eastAsia="Times New Roman" w:hAnsi="Palatino Linotype" w:cs="Times New Roman"/>
          <w:sz w:val="20"/>
          <w:szCs w:val="20"/>
        </w:rPr>
        <w:t xml:space="preserve"> likely to succeed on the merits of his </w:t>
      </w:r>
      <w:hyperlink r:id="rId14" w:history="1">
        <w:r w:rsidR="00E961AD" w:rsidRPr="00400368">
          <w:rPr>
            <w:rFonts w:ascii="Palatino Linotype" w:eastAsia="Times New Roman" w:hAnsi="Palatino Linotype" w:cs="Times New Roman"/>
            <w:i/>
            <w:iCs/>
            <w:sz w:val="20"/>
            <w:szCs w:val="20"/>
            <w:bdr w:val="none" w:sz="0" w:space="0" w:color="auto" w:frame="1"/>
          </w:rPr>
          <w:t>Ford </w:t>
        </w:r>
      </w:hyperlink>
      <w:r w:rsidR="00E961AD" w:rsidRPr="00400368">
        <w:rPr>
          <w:rFonts w:ascii="Palatino Linotype" w:eastAsia="Times New Roman" w:hAnsi="Palatino Linotype" w:cs="Times New Roman"/>
          <w:sz w:val="20"/>
          <w:szCs w:val="20"/>
        </w:rPr>
        <w:t xml:space="preserve">claim and his request for a competency hearing. As noted, a forensic psychiatrist who conducted an in-person evaluation of </w:t>
      </w:r>
      <w:proofErr w:type="spellStart"/>
      <w:r w:rsidR="00E961AD" w:rsidRPr="00400368">
        <w:rPr>
          <w:rFonts w:ascii="Palatino Linotype" w:eastAsia="Times New Roman" w:hAnsi="Palatino Linotype" w:cs="Times New Roman"/>
          <w:sz w:val="20"/>
          <w:szCs w:val="20"/>
        </w:rPr>
        <w:t>Purkey</w:t>
      </w:r>
      <w:proofErr w:type="spellEnd"/>
      <w:r w:rsidR="00E961AD" w:rsidRPr="00400368">
        <w:rPr>
          <w:rFonts w:ascii="Palatino Linotype" w:eastAsia="Times New Roman" w:hAnsi="Palatino Linotype" w:cs="Times New Roman"/>
          <w:sz w:val="20"/>
          <w:szCs w:val="20"/>
        </w:rPr>
        <w:t xml:space="preserve"> in late 2019 averred that “[</w:t>
      </w:r>
      <w:proofErr w:type="spellStart"/>
      <w:r w:rsidR="00E961AD" w:rsidRPr="00400368">
        <w:rPr>
          <w:rFonts w:ascii="Palatino Linotype" w:eastAsia="Times New Roman" w:hAnsi="Palatino Linotype" w:cs="Times New Roman"/>
          <w:sz w:val="20"/>
          <w:szCs w:val="20"/>
        </w:rPr>
        <w:t>i</w:t>
      </w:r>
      <w:proofErr w:type="spellEnd"/>
      <w:r w:rsidR="00E961AD" w:rsidRPr="00400368">
        <w:rPr>
          <w:rFonts w:ascii="Palatino Linotype" w:eastAsia="Times New Roman" w:hAnsi="Palatino Linotype" w:cs="Times New Roman"/>
          <w:sz w:val="20"/>
          <w:szCs w:val="20"/>
        </w:rPr>
        <w:t xml:space="preserve">]n [his] opinion, to a reasonable degree of medical certainty, at the time of the evaluation, Mr. </w:t>
      </w:r>
      <w:proofErr w:type="spellStart"/>
      <w:r w:rsidR="00E961AD" w:rsidRPr="00400368">
        <w:rPr>
          <w:rFonts w:ascii="Palatino Linotype" w:eastAsia="Times New Roman" w:hAnsi="Palatino Linotype" w:cs="Times New Roman"/>
          <w:sz w:val="20"/>
          <w:szCs w:val="20"/>
        </w:rPr>
        <w:t>Purkey</w:t>
      </w:r>
      <w:proofErr w:type="spellEnd"/>
      <w:r w:rsidR="00E961AD" w:rsidRPr="00400368">
        <w:rPr>
          <w:rFonts w:ascii="Palatino Linotype" w:eastAsia="Times New Roman" w:hAnsi="Palatino Linotype" w:cs="Times New Roman"/>
          <w:sz w:val="20"/>
          <w:szCs w:val="20"/>
        </w:rPr>
        <w:t xml:space="preserve"> lacked a rational understanding of the basis for his execution.” There is extensive evidence that </w:t>
      </w:r>
      <w:proofErr w:type="spellStart"/>
      <w:r w:rsidR="00E961AD" w:rsidRPr="00400368">
        <w:rPr>
          <w:rFonts w:ascii="Palatino Linotype" w:eastAsia="Times New Roman" w:hAnsi="Palatino Linotype" w:cs="Times New Roman"/>
          <w:sz w:val="20"/>
          <w:szCs w:val="20"/>
        </w:rPr>
        <w:t>Purkey</w:t>
      </w:r>
      <w:proofErr w:type="spellEnd"/>
      <w:r w:rsidR="00E961AD" w:rsidRPr="00400368">
        <w:rPr>
          <w:rFonts w:ascii="Palatino Linotype" w:eastAsia="Times New Roman" w:hAnsi="Palatino Linotype" w:cs="Times New Roman"/>
          <w:sz w:val="20"/>
          <w:szCs w:val="20"/>
        </w:rPr>
        <w:t xml:space="preserve"> earnestly and steadfastly believes that the Government plans to execute him not as punishment for murder, but in retaliation for his “protracted jailhouse lawyering” to expose prison abuses. </w:t>
      </w:r>
      <w:proofErr w:type="spellStart"/>
      <w:r w:rsidR="00E961AD" w:rsidRPr="00400368">
        <w:rPr>
          <w:rFonts w:ascii="Palatino Linotype" w:eastAsia="Times New Roman" w:hAnsi="Palatino Linotype" w:cs="Times New Roman"/>
          <w:sz w:val="20"/>
          <w:szCs w:val="20"/>
        </w:rPr>
        <w:t>Purkey</w:t>
      </w:r>
      <w:proofErr w:type="spellEnd"/>
      <w:r w:rsidR="00E961AD" w:rsidRPr="00400368">
        <w:rPr>
          <w:rFonts w:ascii="Palatino Linotype" w:eastAsia="Times New Roman" w:hAnsi="Palatino Linotype" w:cs="Times New Roman"/>
          <w:sz w:val="20"/>
          <w:szCs w:val="20"/>
        </w:rPr>
        <w:t xml:space="preserve"> even believes his counsel to be “part of the conspiracy against him and his efforts to litigate against the prison.” Consistent with such evidence, individuals have described </w:t>
      </w:r>
      <w:proofErr w:type="spellStart"/>
      <w:r w:rsidR="00E961AD" w:rsidRPr="00400368">
        <w:rPr>
          <w:rFonts w:ascii="Palatino Linotype" w:eastAsia="Times New Roman" w:hAnsi="Palatino Linotype" w:cs="Times New Roman"/>
          <w:sz w:val="20"/>
          <w:szCs w:val="20"/>
        </w:rPr>
        <w:t>Purkey's</w:t>
      </w:r>
      <w:proofErr w:type="spellEnd"/>
      <w:r w:rsidR="00E961AD" w:rsidRPr="00400368">
        <w:rPr>
          <w:rFonts w:ascii="Palatino Linotype" w:eastAsia="Times New Roman" w:hAnsi="Palatino Linotype" w:cs="Times New Roman"/>
          <w:sz w:val="20"/>
          <w:szCs w:val="20"/>
        </w:rPr>
        <w:t xml:space="preserve"> history of delusions, hallucinations, and paranoia</w:t>
      </w:r>
      <w:proofErr w:type="gramStart"/>
      <w:r w:rsidR="00E961AD" w:rsidRPr="00400368">
        <w:rPr>
          <w:rFonts w:ascii="Palatino Linotype" w:eastAsia="Times New Roman" w:hAnsi="Palatino Linotype" w:cs="Times New Roman"/>
          <w:sz w:val="20"/>
          <w:szCs w:val="20"/>
        </w:rPr>
        <w:t xml:space="preserve">. </w:t>
      </w:r>
      <w:r w:rsidRPr="00400368">
        <w:rPr>
          <w:rFonts w:ascii="Palatino Linotype" w:eastAsia="Times New Roman" w:hAnsi="Palatino Linotype" w:cs="Times New Roman"/>
          <w:sz w:val="20"/>
          <w:szCs w:val="20"/>
        </w:rPr>
        <w:t>. . .</w:t>
      </w:r>
      <w:proofErr w:type="gramEnd"/>
      <w:r w:rsidRPr="00400368">
        <w:rPr>
          <w:rFonts w:ascii="Palatino Linotype" w:eastAsia="Times New Roman" w:hAnsi="Palatino Linotype" w:cs="Times New Roman"/>
          <w:sz w:val="20"/>
          <w:szCs w:val="20"/>
        </w:rPr>
        <w:t xml:space="preserve"> </w:t>
      </w:r>
    </w:p>
    <w:p w14:paraId="4F995392" w14:textId="329ACAA1" w:rsidR="00E961AD" w:rsidRPr="00400368" w:rsidRDefault="00E961AD" w:rsidP="00E961A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400368">
        <w:rPr>
          <w:rFonts w:ascii="Palatino Linotype" w:eastAsia="Times New Roman" w:hAnsi="Palatino Linotype" w:cs="Times New Roman"/>
          <w:sz w:val="20"/>
          <w:szCs w:val="20"/>
        </w:rPr>
        <w:t xml:space="preserve">Against that extensive body of evidence, the Government principally maintains that the forensic psychiatrist, who unequivocally opined that </w:t>
      </w:r>
      <w:proofErr w:type="spellStart"/>
      <w:r w:rsidRPr="00400368">
        <w:rPr>
          <w:rFonts w:ascii="Palatino Linotype" w:eastAsia="Times New Roman" w:hAnsi="Palatino Linotype" w:cs="Times New Roman"/>
          <w:sz w:val="20"/>
          <w:szCs w:val="20"/>
        </w:rPr>
        <w:t>Purkey</w:t>
      </w:r>
      <w:proofErr w:type="spellEnd"/>
      <w:r w:rsidRPr="00400368">
        <w:rPr>
          <w:rFonts w:ascii="Palatino Linotype" w:eastAsia="Times New Roman" w:hAnsi="Palatino Linotype" w:cs="Times New Roman"/>
          <w:sz w:val="20"/>
          <w:szCs w:val="20"/>
        </w:rPr>
        <w:t xml:space="preserve"> lacked a rational understanding of the basis for his execution, was confused. According to the Government, the psychiatrist misinterpreted </w:t>
      </w:r>
      <w:proofErr w:type="spellStart"/>
      <w:r w:rsidRPr="00400368">
        <w:rPr>
          <w:rFonts w:ascii="Palatino Linotype" w:eastAsia="Times New Roman" w:hAnsi="Palatino Linotype" w:cs="Times New Roman"/>
          <w:sz w:val="20"/>
          <w:szCs w:val="20"/>
        </w:rPr>
        <w:t>Purkey's</w:t>
      </w:r>
      <w:proofErr w:type="spellEnd"/>
      <w:r w:rsidRPr="00400368">
        <w:rPr>
          <w:rFonts w:ascii="Palatino Linotype" w:eastAsia="Times New Roman" w:hAnsi="Palatino Linotype" w:cs="Times New Roman"/>
          <w:sz w:val="20"/>
          <w:szCs w:val="20"/>
        </w:rPr>
        <w:t xml:space="preserve"> failure to understand the reason for the scheduling of his execution as an inability to grasp the basis for his execution altogether. But even a cursory review of the psychiatrist's report reveals no such muddling of concepts. While the psychiatrist acknowledged that </w:t>
      </w:r>
      <w:proofErr w:type="spellStart"/>
      <w:r w:rsidRPr="00400368">
        <w:rPr>
          <w:rFonts w:ascii="Palatino Linotype" w:eastAsia="Times New Roman" w:hAnsi="Palatino Linotype" w:cs="Times New Roman"/>
          <w:sz w:val="20"/>
          <w:szCs w:val="20"/>
        </w:rPr>
        <w:t>Purkey</w:t>
      </w:r>
      <w:proofErr w:type="spellEnd"/>
      <w:r w:rsidRPr="00400368">
        <w:rPr>
          <w:rFonts w:ascii="Palatino Linotype" w:eastAsia="Times New Roman" w:hAnsi="Palatino Linotype" w:cs="Times New Roman"/>
          <w:sz w:val="20"/>
          <w:szCs w:val="20"/>
        </w:rPr>
        <w:t xml:space="preserve"> could “recite the fact that his execution is for the murder of Jennifer Long,” the psychiatrist continued that </w:t>
      </w:r>
      <w:proofErr w:type="spellStart"/>
      <w:r w:rsidRPr="00400368">
        <w:rPr>
          <w:rFonts w:ascii="Palatino Linotype" w:eastAsia="Times New Roman" w:hAnsi="Palatino Linotype" w:cs="Times New Roman"/>
          <w:sz w:val="20"/>
          <w:szCs w:val="20"/>
        </w:rPr>
        <w:t>Purkey</w:t>
      </w:r>
      <w:proofErr w:type="spellEnd"/>
      <w:r w:rsidRPr="00400368">
        <w:rPr>
          <w:rFonts w:ascii="Palatino Linotype" w:eastAsia="Times New Roman" w:hAnsi="Palatino Linotype" w:cs="Times New Roman"/>
          <w:sz w:val="20"/>
          <w:szCs w:val="20"/>
        </w:rPr>
        <w:t xml:space="preserve"> “lacks rational understanding of that fact” and can only “</w:t>
      </w:r>
      <w:proofErr w:type="spellStart"/>
      <w:r w:rsidRPr="00400368">
        <w:rPr>
          <w:rFonts w:ascii="Palatino Linotype" w:eastAsia="Times New Roman" w:hAnsi="Palatino Linotype" w:cs="Times New Roman"/>
          <w:sz w:val="20"/>
          <w:szCs w:val="20"/>
        </w:rPr>
        <w:t>parro</w:t>
      </w:r>
      <w:proofErr w:type="spellEnd"/>
      <w:r w:rsidRPr="00400368">
        <w:rPr>
          <w:rFonts w:ascii="Palatino Linotype" w:eastAsia="Times New Roman" w:hAnsi="Palatino Linotype" w:cs="Times New Roman"/>
          <w:sz w:val="20"/>
          <w:szCs w:val="20"/>
        </w:rPr>
        <w:t xml:space="preserve">[t]” it “rather than </w:t>
      </w:r>
      <w:proofErr w:type="spellStart"/>
      <w:r w:rsidRPr="00400368">
        <w:rPr>
          <w:rFonts w:ascii="Palatino Linotype" w:eastAsia="Times New Roman" w:hAnsi="Palatino Linotype" w:cs="Times New Roman"/>
          <w:sz w:val="20"/>
          <w:szCs w:val="20"/>
        </w:rPr>
        <w:t>hav</w:t>
      </w:r>
      <w:proofErr w:type="spellEnd"/>
      <w:r w:rsidRPr="00400368">
        <w:rPr>
          <w:rFonts w:ascii="Palatino Linotype" w:eastAsia="Times New Roman" w:hAnsi="Palatino Linotype" w:cs="Times New Roman"/>
          <w:sz w:val="20"/>
          <w:szCs w:val="20"/>
        </w:rPr>
        <w:t xml:space="preserve">[e] a rational understanding” of it. </w:t>
      </w:r>
    </w:p>
    <w:p w14:paraId="4827F390" w14:textId="6228F462" w:rsidR="00E961AD" w:rsidRPr="00400368" w:rsidRDefault="00E961AD" w:rsidP="00E961A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400368">
        <w:rPr>
          <w:rFonts w:ascii="Palatino Linotype" w:eastAsia="Times New Roman" w:hAnsi="Palatino Linotype" w:cs="Times New Roman"/>
          <w:sz w:val="20"/>
          <w:szCs w:val="20"/>
        </w:rPr>
        <w:t xml:space="preserve">The Government then insists that, even accepting as true </w:t>
      </w:r>
      <w:proofErr w:type="spellStart"/>
      <w:r w:rsidRPr="00400368">
        <w:rPr>
          <w:rFonts w:ascii="Palatino Linotype" w:eastAsia="Times New Roman" w:hAnsi="Palatino Linotype" w:cs="Times New Roman"/>
          <w:sz w:val="20"/>
          <w:szCs w:val="20"/>
        </w:rPr>
        <w:t>Purkey's</w:t>
      </w:r>
      <w:proofErr w:type="spellEnd"/>
      <w:r w:rsidRPr="00400368">
        <w:rPr>
          <w:rFonts w:ascii="Palatino Linotype" w:eastAsia="Times New Roman" w:hAnsi="Palatino Linotype" w:cs="Times New Roman"/>
          <w:sz w:val="20"/>
          <w:szCs w:val="20"/>
        </w:rPr>
        <w:t xml:space="preserve"> evidence of “a history of mental illness” and “paranoid delusional thinking,” such evidence “does not demonstrate incompetency under </w:t>
      </w:r>
      <w:hyperlink r:id="rId15" w:history="1">
        <w:r w:rsidRPr="00400368">
          <w:rPr>
            <w:rFonts w:ascii="Palatino Linotype" w:eastAsia="Times New Roman" w:hAnsi="Palatino Linotype" w:cs="Times New Roman"/>
            <w:i/>
            <w:iCs/>
            <w:sz w:val="20"/>
            <w:szCs w:val="20"/>
            <w:bdr w:val="none" w:sz="0" w:space="0" w:color="auto" w:frame="1"/>
          </w:rPr>
          <w:t>Ford</w:t>
        </w:r>
      </w:hyperlink>
      <w:r w:rsidRPr="00400368">
        <w:rPr>
          <w:rFonts w:ascii="Palatino Linotype" w:eastAsia="Times New Roman" w:hAnsi="Palatino Linotype" w:cs="Times New Roman"/>
          <w:sz w:val="20"/>
          <w:szCs w:val="20"/>
        </w:rPr>
        <w:t xml:space="preserve">.” But the question before the District Court at the preliminary-injunction stage was not whether </w:t>
      </w:r>
      <w:proofErr w:type="spellStart"/>
      <w:r w:rsidRPr="00400368">
        <w:rPr>
          <w:rFonts w:ascii="Palatino Linotype" w:eastAsia="Times New Roman" w:hAnsi="Palatino Linotype" w:cs="Times New Roman"/>
          <w:sz w:val="20"/>
          <w:szCs w:val="20"/>
        </w:rPr>
        <w:t>Purkey</w:t>
      </w:r>
      <w:proofErr w:type="spellEnd"/>
      <w:r w:rsidRPr="00400368">
        <w:rPr>
          <w:rFonts w:ascii="Palatino Linotype" w:eastAsia="Times New Roman" w:hAnsi="Palatino Linotype" w:cs="Times New Roman"/>
          <w:sz w:val="20"/>
          <w:szCs w:val="20"/>
        </w:rPr>
        <w:t xml:space="preserve"> conclusively is unable to comprehend the basis for his punishment. Instead, the District Court needed only conclude that </w:t>
      </w:r>
      <w:proofErr w:type="spellStart"/>
      <w:r w:rsidRPr="00400368">
        <w:rPr>
          <w:rFonts w:ascii="Palatino Linotype" w:eastAsia="Times New Roman" w:hAnsi="Palatino Linotype" w:cs="Times New Roman"/>
          <w:sz w:val="20"/>
          <w:szCs w:val="20"/>
        </w:rPr>
        <w:t>Purkey</w:t>
      </w:r>
      <w:proofErr w:type="spellEnd"/>
      <w:r w:rsidRPr="00400368">
        <w:rPr>
          <w:rFonts w:ascii="Palatino Linotype" w:eastAsia="Times New Roman" w:hAnsi="Palatino Linotype" w:cs="Times New Roman"/>
          <w:sz w:val="20"/>
          <w:szCs w:val="20"/>
        </w:rPr>
        <w:t xml:space="preserve"> would be likely to succeed in establishing a </w:t>
      </w:r>
      <w:proofErr w:type="gramStart"/>
      <w:r w:rsidRPr="00400368">
        <w:rPr>
          <w:rFonts w:ascii="Palatino Linotype" w:eastAsia="Times New Roman" w:hAnsi="Palatino Linotype" w:cs="Times New Roman"/>
          <w:sz w:val="20"/>
          <w:szCs w:val="20"/>
        </w:rPr>
        <w:t>“ ‘</w:t>
      </w:r>
      <w:proofErr w:type="gramEnd"/>
      <w:r w:rsidRPr="00400368">
        <w:rPr>
          <w:rFonts w:ascii="Palatino Linotype" w:eastAsia="Times New Roman" w:hAnsi="Palatino Linotype" w:cs="Times New Roman"/>
          <w:sz w:val="20"/>
          <w:szCs w:val="20"/>
        </w:rPr>
        <w:t xml:space="preserve">substantial threshold showing’ ” of incompetence to warrant a competency hearing, or his actual incompetence to be executed. On this record, the District Court correctly concluded that </w:t>
      </w:r>
      <w:proofErr w:type="spellStart"/>
      <w:r w:rsidRPr="00400368">
        <w:rPr>
          <w:rFonts w:ascii="Palatino Linotype" w:eastAsia="Times New Roman" w:hAnsi="Palatino Linotype" w:cs="Times New Roman"/>
          <w:sz w:val="20"/>
          <w:szCs w:val="20"/>
        </w:rPr>
        <w:t>Purkey</w:t>
      </w:r>
      <w:proofErr w:type="spellEnd"/>
      <w:r w:rsidRPr="00400368">
        <w:rPr>
          <w:rFonts w:ascii="Palatino Linotype" w:eastAsia="Times New Roman" w:hAnsi="Palatino Linotype" w:cs="Times New Roman"/>
          <w:sz w:val="20"/>
          <w:szCs w:val="20"/>
        </w:rPr>
        <w:t xml:space="preserve"> met this preliminary burden. The Government's cursory arguments regarding the ultimate merits of </w:t>
      </w:r>
      <w:proofErr w:type="spellStart"/>
      <w:r w:rsidRPr="00400368">
        <w:rPr>
          <w:rFonts w:ascii="Palatino Linotype" w:eastAsia="Times New Roman" w:hAnsi="Palatino Linotype" w:cs="Times New Roman"/>
          <w:sz w:val="20"/>
          <w:szCs w:val="20"/>
        </w:rPr>
        <w:t>Purkey's</w:t>
      </w:r>
      <w:proofErr w:type="spellEnd"/>
      <w:r w:rsidRPr="00400368">
        <w:rPr>
          <w:rFonts w:ascii="Palatino Linotype" w:eastAsia="Times New Roman" w:hAnsi="Palatino Linotype" w:cs="Times New Roman"/>
          <w:sz w:val="20"/>
          <w:szCs w:val="20"/>
        </w:rPr>
        <w:t xml:space="preserve"> claims do not reveal this case to be an “extraordinary” one justifying the Court's second-guessing of the District Court's highly </w:t>
      </w:r>
      <w:proofErr w:type="spellStart"/>
      <w:r w:rsidRPr="00400368">
        <w:rPr>
          <w:rFonts w:ascii="Palatino Linotype" w:eastAsia="Times New Roman" w:hAnsi="Palatino Linotype" w:cs="Times New Roman"/>
          <w:sz w:val="20"/>
          <w:szCs w:val="20"/>
        </w:rPr>
        <w:t>factbound</w:t>
      </w:r>
      <w:proofErr w:type="spellEnd"/>
      <w:r w:rsidRPr="00400368">
        <w:rPr>
          <w:rFonts w:ascii="Palatino Linotype" w:eastAsia="Times New Roman" w:hAnsi="Palatino Linotype" w:cs="Times New Roman"/>
          <w:sz w:val="20"/>
          <w:szCs w:val="20"/>
        </w:rPr>
        <w:t xml:space="preserve"> assessment. </w:t>
      </w:r>
    </w:p>
    <w:p w14:paraId="3FB7A7E4" w14:textId="77777777" w:rsidR="00E961AD" w:rsidRPr="00400368" w:rsidRDefault="00E961AD" w:rsidP="00E961AD">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400368">
        <w:rPr>
          <w:rFonts w:ascii="Palatino Linotype" w:eastAsia="Times New Roman" w:hAnsi="Palatino Linotype" w:cs="Times New Roman"/>
          <w:sz w:val="20"/>
          <w:szCs w:val="20"/>
        </w:rPr>
        <w:lastRenderedPageBreak/>
        <w:t xml:space="preserve">Finally, there can be no serious dispute that the remaining equitable considerations at issue heavily favor </w:t>
      </w:r>
      <w:proofErr w:type="spellStart"/>
      <w:r w:rsidRPr="00400368">
        <w:rPr>
          <w:rFonts w:ascii="Palatino Linotype" w:eastAsia="Times New Roman" w:hAnsi="Palatino Linotype" w:cs="Times New Roman"/>
          <w:sz w:val="20"/>
          <w:szCs w:val="20"/>
        </w:rPr>
        <w:t>Purkey</w:t>
      </w:r>
      <w:proofErr w:type="spellEnd"/>
      <w:r w:rsidRPr="00400368">
        <w:rPr>
          <w:rFonts w:ascii="Palatino Linotype" w:eastAsia="Times New Roman" w:hAnsi="Palatino Linotype" w:cs="Times New Roman"/>
          <w:sz w:val="20"/>
          <w:szCs w:val="20"/>
        </w:rPr>
        <w:t xml:space="preserve">. Although the Government and the family members of the victim have a legitimate interest in punishing the guilty, that interest must be measured against </w:t>
      </w:r>
      <w:proofErr w:type="spellStart"/>
      <w:r w:rsidRPr="00400368">
        <w:rPr>
          <w:rFonts w:ascii="Palatino Linotype" w:eastAsia="Times New Roman" w:hAnsi="Palatino Linotype" w:cs="Times New Roman"/>
          <w:sz w:val="20"/>
          <w:szCs w:val="20"/>
        </w:rPr>
        <w:t>Purkey's</w:t>
      </w:r>
      <w:proofErr w:type="spellEnd"/>
      <w:r w:rsidRPr="00400368">
        <w:rPr>
          <w:rFonts w:ascii="Palatino Linotype" w:eastAsia="Times New Roman" w:hAnsi="Palatino Linotype" w:cs="Times New Roman"/>
          <w:sz w:val="20"/>
          <w:szCs w:val="20"/>
        </w:rPr>
        <w:t xml:space="preserve"> and the public's interest in ensuring that such punishment comports with the </w:t>
      </w:r>
      <w:r w:rsidRPr="00400368">
        <w:rPr>
          <w:rFonts w:ascii="Palatino Linotype" w:eastAsia="Times New Roman" w:hAnsi="Palatino Linotype" w:cs="Times New Roman"/>
          <w:sz w:val="20"/>
          <w:szCs w:val="20"/>
          <w:bdr w:val="none" w:sz="0" w:space="0" w:color="auto" w:frame="1"/>
        </w:rPr>
        <w:t>Constitution</w:t>
      </w:r>
      <w:r w:rsidRPr="00400368">
        <w:rPr>
          <w:rFonts w:ascii="Palatino Linotype" w:eastAsia="Times New Roman" w:hAnsi="Palatino Linotype" w:cs="Times New Roman"/>
          <w:sz w:val="20"/>
          <w:szCs w:val="20"/>
        </w:rPr>
        <w:t xml:space="preserve">. At the same time, proceeding with </w:t>
      </w:r>
      <w:proofErr w:type="spellStart"/>
      <w:r w:rsidRPr="00400368">
        <w:rPr>
          <w:rFonts w:ascii="Palatino Linotype" w:eastAsia="Times New Roman" w:hAnsi="Palatino Linotype" w:cs="Times New Roman"/>
          <w:sz w:val="20"/>
          <w:szCs w:val="20"/>
        </w:rPr>
        <w:t>Purkey's</w:t>
      </w:r>
      <w:proofErr w:type="spellEnd"/>
      <w:r w:rsidRPr="00400368">
        <w:rPr>
          <w:rFonts w:ascii="Palatino Linotype" w:eastAsia="Times New Roman" w:hAnsi="Palatino Linotype" w:cs="Times New Roman"/>
          <w:sz w:val="20"/>
          <w:szCs w:val="20"/>
        </w:rPr>
        <w:t xml:space="preserve"> execution now, despite the grave questions and factual findings regarding his mental competency, casts a shroud of constitutional doubt over the most irrevocable of injuries.</w:t>
      </w:r>
    </w:p>
    <w:p w14:paraId="17D59BB8" w14:textId="1789A90E" w:rsidR="00E961AD" w:rsidRPr="00400368" w:rsidRDefault="005F5D1C" w:rsidP="00E961AD">
      <w:pPr>
        <w:spacing w:after="0" w:line="240" w:lineRule="auto"/>
        <w:ind w:firstLine="720"/>
        <w:rPr>
          <w:rFonts w:ascii="Palatino Linotype" w:hAnsi="Palatino Linotype" w:cs="Times New Roman"/>
          <w:sz w:val="20"/>
          <w:szCs w:val="20"/>
        </w:rPr>
      </w:pPr>
      <w:r w:rsidRPr="00400368">
        <w:rPr>
          <w:rFonts w:ascii="Palatino Linotype" w:hAnsi="Palatino Linotype" w:cs="Times New Roman"/>
          <w:sz w:val="20"/>
          <w:szCs w:val="20"/>
        </w:rPr>
        <w:t xml:space="preserve">. . . . </w:t>
      </w:r>
    </w:p>
    <w:bookmarkEnd w:id="0"/>
    <w:p w14:paraId="78C3A98C" w14:textId="77777777" w:rsidR="00E961AD" w:rsidRPr="00400368" w:rsidRDefault="00E961AD" w:rsidP="00E961AD">
      <w:pPr>
        <w:spacing w:after="0" w:line="240" w:lineRule="auto"/>
        <w:ind w:firstLine="720"/>
        <w:rPr>
          <w:rFonts w:ascii="Palatino Linotype" w:hAnsi="Palatino Linotype" w:cs="Times New Roman"/>
          <w:sz w:val="20"/>
          <w:szCs w:val="20"/>
        </w:rPr>
      </w:pPr>
    </w:p>
    <w:p w14:paraId="029FF78A" w14:textId="77777777" w:rsidR="009E4E30" w:rsidRPr="00400368" w:rsidRDefault="009E4E30" w:rsidP="00E961AD">
      <w:pPr>
        <w:spacing w:after="0" w:line="240" w:lineRule="auto"/>
        <w:ind w:firstLine="720"/>
        <w:rPr>
          <w:rFonts w:ascii="Palatino Linotype" w:hAnsi="Palatino Linotype" w:cs="Times New Roman"/>
          <w:sz w:val="20"/>
          <w:szCs w:val="20"/>
        </w:rPr>
      </w:pPr>
    </w:p>
    <w:sectPr w:rsidR="009E4E30" w:rsidRPr="004003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1AD"/>
    <w:rsid w:val="001A02B7"/>
    <w:rsid w:val="003C5D46"/>
    <w:rsid w:val="00400368"/>
    <w:rsid w:val="005F5D1C"/>
    <w:rsid w:val="009E4E30"/>
    <w:rsid w:val="00BD7564"/>
    <w:rsid w:val="00BE3933"/>
    <w:rsid w:val="00C079FC"/>
    <w:rsid w:val="00E961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21C04"/>
  <w15:chartTrackingRefBased/>
  <w15:docId w15:val="{6C1338E5-2363-4746-98CB-37168BCF1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61AD"/>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1079668">
      <w:bodyDiv w:val="1"/>
      <w:marLeft w:val="0"/>
      <w:marRight w:val="0"/>
      <w:marTop w:val="0"/>
      <w:marBottom w:val="0"/>
      <w:divBdr>
        <w:top w:val="none" w:sz="0" w:space="0" w:color="auto"/>
        <w:left w:val="none" w:sz="0" w:space="0" w:color="auto"/>
        <w:bottom w:val="none" w:sz="0" w:space="0" w:color="auto"/>
        <w:right w:val="none" w:sz="0" w:space="0" w:color="auto"/>
      </w:divBdr>
      <w:divsChild>
        <w:div w:id="1123377679">
          <w:marLeft w:val="0"/>
          <w:marRight w:val="0"/>
          <w:marTop w:val="0"/>
          <w:marBottom w:val="0"/>
          <w:divBdr>
            <w:top w:val="none" w:sz="0" w:space="0" w:color="auto"/>
            <w:left w:val="none" w:sz="0" w:space="0" w:color="auto"/>
            <w:bottom w:val="none" w:sz="0" w:space="0" w:color="auto"/>
            <w:right w:val="none" w:sz="0" w:space="0" w:color="auto"/>
          </w:divBdr>
          <w:divsChild>
            <w:div w:id="1082681887">
              <w:marLeft w:val="0"/>
              <w:marRight w:val="0"/>
              <w:marTop w:val="0"/>
              <w:marBottom w:val="0"/>
              <w:divBdr>
                <w:top w:val="none" w:sz="0" w:space="0" w:color="auto"/>
                <w:left w:val="none" w:sz="0" w:space="0" w:color="auto"/>
                <w:bottom w:val="none" w:sz="0" w:space="0" w:color="auto"/>
                <w:right w:val="none" w:sz="0" w:space="0" w:color="auto"/>
              </w:divBdr>
              <w:divsChild>
                <w:div w:id="744106055">
                  <w:marLeft w:val="0"/>
                  <w:marRight w:val="0"/>
                  <w:marTop w:val="0"/>
                  <w:marBottom w:val="0"/>
                  <w:divBdr>
                    <w:top w:val="none" w:sz="0" w:space="0" w:color="auto"/>
                    <w:left w:val="none" w:sz="0" w:space="0" w:color="auto"/>
                    <w:bottom w:val="none" w:sz="0" w:space="0" w:color="auto"/>
                    <w:right w:val="none" w:sz="0" w:space="0" w:color="auto"/>
                  </w:divBdr>
                  <w:divsChild>
                    <w:div w:id="790318046">
                      <w:marLeft w:val="0"/>
                      <w:marRight w:val="0"/>
                      <w:marTop w:val="0"/>
                      <w:marBottom w:val="0"/>
                      <w:divBdr>
                        <w:top w:val="none" w:sz="0" w:space="0" w:color="auto"/>
                        <w:left w:val="none" w:sz="0" w:space="0" w:color="auto"/>
                        <w:bottom w:val="none" w:sz="0" w:space="0" w:color="auto"/>
                        <w:right w:val="none" w:sz="0" w:space="0" w:color="auto"/>
                      </w:divBdr>
                      <w:divsChild>
                        <w:div w:id="794561024">
                          <w:marLeft w:val="0"/>
                          <w:marRight w:val="0"/>
                          <w:marTop w:val="0"/>
                          <w:marBottom w:val="0"/>
                          <w:divBdr>
                            <w:top w:val="none" w:sz="0" w:space="0" w:color="auto"/>
                            <w:left w:val="none" w:sz="0" w:space="0" w:color="auto"/>
                            <w:bottom w:val="none" w:sz="0" w:space="0" w:color="auto"/>
                            <w:right w:val="none" w:sz="0" w:space="0" w:color="auto"/>
                          </w:divBdr>
                          <w:divsChild>
                            <w:div w:id="321661786">
                              <w:marLeft w:val="0"/>
                              <w:marRight w:val="0"/>
                              <w:marTop w:val="0"/>
                              <w:marBottom w:val="0"/>
                              <w:divBdr>
                                <w:top w:val="none" w:sz="0" w:space="0" w:color="auto"/>
                                <w:left w:val="none" w:sz="0" w:space="0" w:color="auto"/>
                                <w:bottom w:val="none" w:sz="0" w:space="0" w:color="auto"/>
                                <w:right w:val="none" w:sz="0" w:space="0" w:color="auto"/>
                              </w:divBdr>
                              <w:divsChild>
                                <w:div w:id="130462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35079">
          <w:marLeft w:val="0"/>
          <w:marRight w:val="0"/>
          <w:marTop w:val="0"/>
          <w:marBottom w:val="0"/>
          <w:divBdr>
            <w:top w:val="none" w:sz="0" w:space="0" w:color="auto"/>
            <w:left w:val="none" w:sz="0" w:space="0" w:color="auto"/>
            <w:bottom w:val="none" w:sz="0" w:space="0" w:color="auto"/>
            <w:right w:val="none" w:sz="0" w:space="0" w:color="auto"/>
          </w:divBdr>
          <w:divsChild>
            <w:div w:id="107894891">
              <w:marLeft w:val="0"/>
              <w:marRight w:val="0"/>
              <w:marTop w:val="0"/>
              <w:marBottom w:val="0"/>
              <w:divBdr>
                <w:top w:val="none" w:sz="0" w:space="0" w:color="auto"/>
                <w:left w:val="none" w:sz="0" w:space="0" w:color="auto"/>
                <w:bottom w:val="none" w:sz="0" w:space="0" w:color="auto"/>
                <w:right w:val="none" w:sz="0" w:space="0" w:color="auto"/>
              </w:divBdr>
              <w:divsChild>
                <w:div w:id="418527183">
                  <w:marLeft w:val="0"/>
                  <w:marRight w:val="0"/>
                  <w:marTop w:val="0"/>
                  <w:marBottom w:val="0"/>
                  <w:divBdr>
                    <w:top w:val="none" w:sz="0" w:space="0" w:color="auto"/>
                    <w:left w:val="none" w:sz="0" w:space="0" w:color="auto"/>
                    <w:bottom w:val="none" w:sz="0" w:space="0" w:color="auto"/>
                    <w:right w:val="none" w:sz="0" w:space="0" w:color="auto"/>
                  </w:divBdr>
                  <w:divsChild>
                    <w:div w:id="1847473678">
                      <w:marLeft w:val="0"/>
                      <w:marRight w:val="0"/>
                      <w:marTop w:val="0"/>
                      <w:marBottom w:val="0"/>
                      <w:divBdr>
                        <w:top w:val="none" w:sz="0" w:space="0" w:color="auto"/>
                        <w:left w:val="none" w:sz="0" w:space="0" w:color="auto"/>
                        <w:bottom w:val="none" w:sz="0" w:space="0" w:color="auto"/>
                        <w:right w:val="none" w:sz="0" w:space="0" w:color="auto"/>
                      </w:divBdr>
                    </w:div>
                    <w:div w:id="1211962186">
                      <w:marLeft w:val="0"/>
                      <w:marRight w:val="0"/>
                      <w:marTop w:val="0"/>
                      <w:marBottom w:val="0"/>
                      <w:divBdr>
                        <w:top w:val="none" w:sz="0" w:space="0" w:color="auto"/>
                        <w:left w:val="none" w:sz="0" w:space="0" w:color="auto"/>
                        <w:bottom w:val="none" w:sz="0" w:space="0" w:color="auto"/>
                        <w:right w:val="none" w:sz="0" w:space="0" w:color="auto"/>
                      </w:divBdr>
                      <w:divsChild>
                        <w:div w:id="1407340945">
                          <w:marLeft w:val="0"/>
                          <w:marRight w:val="0"/>
                          <w:marTop w:val="0"/>
                          <w:marBottom w:val="0"/>
                          <w:divBdr>
                            <w:top w:val="none" w:sz="0" w:space="0" w:color="auto"/>
                            <w:left w:val="none" w:sz="0" w:space="0" w:color="auto"/>
                            <w:bottom w:val="none" w:sz="0" w:space="0" w:color="auto"/>
                            <w:right w:val="none" w:sz="0" w:space="0" w:color="auto"/>
                          </w:divBdr>
                          <w:divsChild>
                            <w:div w:id="242644853">
                              <w:marLeft w:val="0"/>
                              <w:marRight w:val="0"/>
                              <w:marTop w:val="0"/>
                              <w:marBottom w:val="0"/>
                              <w:divBdr>
                                <w:top w:val="none" w:sz="0" w:space="0" w:color="auto"/>
                                <w:left w:val="none" w:sz="0" w:space="0" w:color="auto"/>
                                <w:bottom w:val="none" w:sz="0" w:space="0" w:color="auto"/>
                                <w:right w:val="none" w:sz="0" w:space="0" w:color="auto"/>
                              </w:divBdr>
                              <w:divsChild>
                                <w:div w:id="1329597681">
                                  <w:marLeft w:val="0"/>
                                  <w:marRight w:val="0"/>
                                  <w:marTop w:val="0"/>
                                  <w:marBottom w:val="0"/>
                                  <w:divBdr>
                                    <w:top w:val="none" w:sz="0" w:space="0" w:color="auto"/>
                                    <w:left w:val="none" w:sz="0" w:space="0" w:color="auto"/>
                                    <w:bottom w:val="none" w:sz="0" w:space="0" w:color="auto"/>
                                    <w:right w:val="none" w:sz="0" w:space="0" w:color="auto"/>
                                  </w:divBdr>
                                </w:div>
                              </w:divsChild>
                            </w:div>
                            <w:div w:id="1141921941">
                              <w:marLeft w:val="0"/>
                              <w:marRight w:val="0"/>
                              <w:marTop w:val="0"/>
                              <w:marBottom w:val="0"/>
                              <w:divBdr>
                                <w:top w:val="none" w:sz="0" w:space="0" w:color="auto"/>
                                <w:left w:val="none" w:sz="0" w:space="0" w:color="auto"/>
                                <w:bottom w:val="none" w:sz="0" w:space="0" w:color="auto"/>
                                <w:right w:val="none" w:sz="0" w:space="0" w:color="auto"/>
                              </w:divBdr>
                              <w:divsChild>
                                <w:div w:id="1630359753">
                                  <w:marLeft w:val="0"/>
                                  <w:marRight w:val="0"/>
                                  <w:marTop w:val="0"/>
                                  <w:marBottom w:val="0"/>
                                  <w:divBdr>
                                    <w:top w:val="none" w:sz="0" w:space="0" w:color="auto"/>
                                    <w:left w:val="none" w:sz="0" w:space="0" w:color="auto"/>
                                    <w:bottom w:val="none" w:sz="0" w:space="0" w:color="auto"/>
                                    <w:right w:val="none" w:sz="0" w:space="0" w:color="auto"/>
                                  </w:divBdr>
                                </w:div>
                              </w:divsChild>
                            </w:div>
                            <w:div w:id="2062829184">
                              <w:marLeft w:val="0"/>
                              <w:marRight w:val="0"/>
                              <w:marTop w:val="0"/>
                              <w:marBottom w:val="0"/>
                              <w:divBdr>
                                <w:top w:val="none" w:sz="0" w:space="0" w:color="auto"/>
                                <w:left w:val="none" w:sz="0" w:space="0" w:color="auto"/>
                                <w:bottom w:val="none" w:sz="0" w:space="0" w:color="auto"/>
                                <w:right w:val="none" w:sz="0" w:space="0" w:color="auto"/>
                              </w:divBdr>
                              <w:divsChild>
                                <w:div w:id="1545479914">
                                  <w:marLeft w:val="0"/>
                                  <w:marRight w:val="0"/>
                                  <w:marTop w:val="0"/>
                                  <w:marBottom w:val="0"/>
                                  <w:divBdr>
                                    <w:top w:val="none" w:sz="0" w:space="0" w:color="auto"/>
                                    <w:left w:val="none" w:sz="0" w:space="0" w:color="auto"/>
                                    <w:bottom w:val="none" w:sz="0" w:space="0" w:color="auto"/>
                                    <w:right w:val="none" w:sz="0" w:space="0" w:color="auto"/>
                                  </w:divBdr>
                                </w:div>
                              </w:divsChild>
                            </w:div>
                            <w:div w:id="1288243709">
                              <w:marLeft w:val="0"/>
                              <w:marRight w:val="0"/>
                              <w:marTop w:val="0"/>
                              <w:marBottom w:val="0"/>
                              <w:divBdr>
                                <w:top w:val="none" w:sz="0" w:space="0" w:color="auto"/>
                                <w:left w:val="none" w:sz="0" w:space="0" w:color="auto"/>
                                <w:bottom w:val="none" w:sz="0" w:space="0" w:color="auto"/>
                                <w:right w:val="none" w:sz="0" w:space="0" w:color="auto"/>
                              </w:divBdr>
                              <w:divsChild>
                                <w:div w:id="744841618">
                                  <w:marLeft w:val="0"/>
                                  <w:marRight w:val="0"/>
                                  <w:marTop w:val="0"/>
                                  <w:marBottom w:val="0"/>
                                  <w:divBdr>
                                    <w:top w:val="none" w:sz="0" w:space="0" w:color="auto"/>
                                    <w:left w:val="none" w:sz="0" w:space="0" w:color="auto"/>
                                    <w:bottom w:val="none" w:sz="0" w:space="0" w:color="auto"/>
                                    <w:right w:val="none" w:sz="0" w:space="0" w:color="auto"/>
                                  </w:divBdr>
                                </w:div>
                              </w:divsChild>
                            </w:div>
                            <w:div w:id="969744119">
                              <w:marLeft w:val="0"/>
                              <w:marRight w:val="0"/>
                              <w:marTop w:val="0"/>
                              <w:marBottom w:val="0"/>
                              <w:divBdr>
                                <w:top w:val="none" w:sz="0" w:space="0" w:color="auto"/>
                                <w:left w:val="none" w:sz="0" w:space="0" w:color="auto"/>
                                <w:bottom w:val="none" w:sz="0" w:space="0" w:color="auto"/>
                                <w:right w:val="none" w:sz="0" w:space="0" w:color="auto"/>
                              </w:divBdr>
                              <w:divsChild>
                                <w:div w:id="1117681353">
                                  <w:marLeft w:val="0"/>
                                  <w:marRight w:val="0"/>
                                  <w:marTop w:val="0"/>
                                  <w:marBottom w:val="0"/>
                                  <w:divBdr>
                                    <w:top w:val="none" w:sz="0" w:space="0" w:color="auto"/>
                                    <w:left w:val="none" w:sz="0" w:space="0" w:color="auto"/>
                                    <w:bottom w:val="none" w:sz="0" w:space="0" w:color="auto"/>
                                    <w:right w:val="none" w:sz="0" w:space="0" w:color="auto"/>
                                  </w:divBdr>
                                </w:div>
                              </w:divsChild>
                            </w:div>
                            <w:div w:id="1419868397">
                              <w:marLeft w:val="0"/>
                              <w:marRight w:val="0"/>
                              <w:marTop w:val="0"/>
                              <w:marBottom w:val="0"/>
                              <w:divBdr>
                                <w:top w:val="none" w:sz="0" w:space="0" w:color="auto"/>
                                <w:left w:val="none" w:sz="0" w:space="0" w:color="auto"/>
                                <w:bottom w:val="none" w:sz="0" w:space="0" w:color="auto"/>
                                <w:right w:val="none" w:sz="0" w:space="0" w:color="auto"/>
                              </w:divBdr>
                              <w:divsChild>
                                <w:div w:id="166407190">
                                  <w:marLeft w:val="0"/>
                                  <w:marRight w:val="0"/>
                                  <w:marTop w:val="0"/>
                                  <w:marBottom w:val="0"/>
                                  <w:divBdr>
                                    <w:top w:val="none" w:sz="0" w:space="0" w:color="auto"/>
                                    <w:left w:val="none" w:sz="0" w:space="0" w:color="auto"/>
                                    <w:bottom w:val="none" w:sz="0" w:space="0" w:color="auto"/>
                                    <w:right w:val="none" w:sz="0" w:space="0" w:color="auto"/>
                                  </w:divBdr>
                                </w:div>
                              </w:divsChild>
                            </w:div>
                            <w:div w:id="1543130360">
                              <w:marLeft w:val="0"/>
                              <w:marRight w:val="0"/>
                              <w:marTop w:val="0"/>
                              <w:marBottom w:val="0"/>
                              <w:divBdr>
                                <w:top w:val="none" w:sz="0" w:space="0" w:color="auto"/>
                                <w:left w:val="none" w:sz="0" w:space="0" w:color="auto"/>
                                <w:bottom w:val="none" w:sz="0" w:space="0" w:color="auto"/>
                                <w:right w:val="none" w:sz="0" w:space="0" w:color="auto"/>
                              </w:divBdr>
                              <w:divsChild>
                                <w:div w:id="113672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4599683">
          <w:marLeft w:val="0"/>
          <w:marRight w:val="0"/>
          <w:marTop w:val="0"/>
          <w:marBottom w:val="0"/>
          <w:divBdr>
            <w:top w:val="none" w:sz="0" w:space="0" w:color="auto"/>
            <w:left w:val="none" w:sz="0" w:space="0" w:color="auto"/>
            <w:bottom w:val="none" w:sz="0" w:space="0" w:color="auto"/>
            <w:right w:val="none" w:sz="0" w:space="0" w:color="auto"/>
          </w:divBdr>
          <w:divsChild>
            <w:div w:id="1916434955">
              <w:marLeft w:val="0"/>
              <w:marRight w:val="0"/>
              <w:marTop w:val="0"/>
              <w:marBottom w:val="0"/>
              <w:divBdr>
                <w:top w:val="none" w:sz="0" w:space="0" w:color="auto"/>
                <w:left w:val="none" w:sz="0" w:space="0" w:color="auto"/>
                <w:bottom w:val="none" w:sz="0" w:space="0" w:color="auto"/>
                <w:right w:val="none" w:sz="0" w:space="0" w:color="auto"/>
              </w:divBdr>
              <w:divsChild>
                <w:div w:id="1157652353">
                  <w:marLeft w:val="0"/>
                  <w:marRight w:val="0"/>
                  <w:marTop w:val="0"/>
                  <w:marBottom w:val="0"/>
                  <w:divBdr>
                    <w:top w:val="none" w:sz="0" w:space="0" w:color="auto"/>
                    <w:left w:val="none" w:sz="0" w:space="0" w:color="auto"/>
                    <w:bottom w:val="none" w:sz="0" w:space="0" w:color="auto"/>
                    <w:right w:val="none" w:sz="0" w:space="0" w:color="auto"/>
                  </w:divBdr>
                  <w:divsChild>
                    <w:div w:id="1040594729">
                      <w:marLeft w:val="0"/>
                      <w:marRight w:val="0"/>
                      <w:marTop w:val="0"/>
                      <w:marBottom w:val="0"/>
                      <w:divBdr>
                        <w:top w:val="none" w:sz="0" w:space="0" w:color="auto"/>
                        <w:left w:val="none" w:sz="0" w:space="0" w:color="auto"/>
                        <w:bottom w:val="none" w:sz="0" w:space="0" w:color="auto"/>
                        <w:right w:val="none" w:sz="0" w:space="0" w:color="auto"/>
                      </w:divBdr>
                    </w:div>
                    <w:div w:id="22288100">
                      <w:marLeft w:val="0"/>
                      <w:marRight w:val="0"/>
                      <w:marTop w:val="0"/>
                      <w:marBottom w:val="0"/>
                      <w:divBdr>
                        <w:top w:val="none" w:sz="0" w:space="0" w:color="auto"/>
                        <w:left w:val="none" w:sz="0" w:space="0" w:color="auto"/>
                        <w:bottom w:val="none" w:sz="0" w:space="0" w:color="auto"/>
                        <w:right w:val="none" w:sz="0" w:space="0" w:color="auto"/>
                      </w:divBdr>
                      <w:divsChild>
                        <w:div w:id="136533808">
                          <w:marLeft w:val="0"/>
                          <w:marRight w:val="0"/>
                          <w:marTop w:val="0"/>
                          <w:marBottom w:val="0"/>
                          <w:divBdr>
                            <w:top w:val="none" w:sz="0" w:space="0" w:color="auto"/>
                            <w:left w:val="none" w:sz="0" w:space="0" w:color="auto"/>
                            <w:bottom w:val="none" w:sz="0" w:space="0" w:color="auto"/>
                            <w:right w:val="none" w:sz="0" w:space="0" w:color="auto"/>
                          </w:divBdr>
                          <w:divsChild>
                            <w:div w:id="1074201129">
                              <w:marLeft w:val="0"/>
                              <w:marRight w:val="0"/>
                              <w:marTop w:val="0"/>
                              <w:marBottom w:val="0"/>
                              <w:divBdr>
                                <w:top w:val="none" w:sz="0" w:space="0" w:color="auto"/>
                                <w:left w:val="none" w:sz="0" w:space="0" w:color="auto"/>
                                <w:bottom w:val="none" w:sz="0" w:space="0" w:color="auto"/>
                                <w:right w:val="none" w:sz="0" w:space="0" w:color="auto"/>
                              </w:divBdr>
                              <w:divsChild>
                                <w:div w:id="779909063">
                                  <w:marLeft w:val="0"/>
                                  <w:marRight w:val="0"/>
                                  <w:marTop w:val="0"/>
                                  <w:marBottom w:val="0"/>
                                  <w:divBdr>
                                    <w:top w:val="none" w:sz="0" w:space="0" w:color="auto"/>
                                    <w:left w:val="none" w:sz="0" w:space="0" w:color="auto"/>
                                    <w:bottom w:val="none" w:sz="0" w:space="0" w:color="auto"/>
                                    <w:right w:val="none" w:sz="0" w:space="0" w:color="auto"/>
                                  </w:divBdr>
                                </w:div>
                              </w:divsChild>
                            </w:div>
                            <w:div w:id="882059064">
                              <w:marLeft w:val="0"/>
                              <w:marRight w:val="0"/>
                              <w:marTop w:val="0"/>
                              <w:marBottom w:val="0"/>
                              <w:divBdr>
                                <w:top w:val="none" w:sz="0" w:space="0" w:color="auto"/>
                                <w:left w:val="none" w:sz="0" w:space="0" w:color="auto"/>
                                <w:bottom w:val="none" w:sz="0" w:space="0" w:color="auto"/>
                                <w:right w:val="none" w:sz="0" w:space="0" w:color="auto"/>
                              </w:divBdr>
                              <w:divsChild>
                                <w:div w:id="1617053732">
                                  <w:marLeft w:val="0"/>
                                  <w:marRight w:val="0"/>
                                  <w:marTop w:val="0"/>
                                  <w:marBottom w:val="0"/>
                                  <w:divBdr>
                                    <w:top w:val="none" w:sz="0" w:space="0" w:color="auto"/>
                                    <w:left w:val="none" w:sz="0" w:space="0" w:color="auto"/>
                                    <w:bottom w:val="none" w:sz="0" w:space="0" w:color="auto"/>
                                    <w:right w:val="none" w:sz="0" w:space="0" w:color="auto"/>
                                  </w:divBdr>
                                </w:div>
                              </w:divsChild>
                            </w:div>
                            <w:div w:id="1072578579">
                              <w:marLeft w:val="0"/>
                              <w:marRight w:val="0"/>
                              <w:marTop w:val="0"/>
                              <w:marBottom w:val="0"/>
                              <w:divBdr>
                                <w:top w:val="none" w:sz="0" w:space="0" w:color="auto"/>
                                <w:left w:val="none" w:sz="0" w:space="0" w:color="auto"/>
                                <w:bottom w:val="none" w:sz="0" w:space="0" w:color="auto"/>
                                <w:right w:val="none" w:sz="0" w:space="0" w:color="auto"/>
                              </w:divBdr>
                              <w:divsChild>
                                <w:div w:id="465200730">
                                  <w:marLeft w:val="0"/>
                                  <w:marRight w:val="0"/>
                                  <w:marTop w:val="0"/>
                                  <w:marBottom w:val="0"/>
                                  <w:divBdr>
                                    <w:top w:val="none" w:sz="0" w:space="0" w:color="auto"/>
                                    <w:left w:val="none" w:sz="0" w:space="0" w:color="auto"/>
                                    <w:bottom w:val="none" w:sz="0" w:space="0" w:color="auto"/>
                                    <w:right w:val="none" w:sz="0" w:space="0" w:color="auto"/>
                                  </w:divBdr>
                                </w:div>
                              </w:divsChild>
                            </w:div>
                            <w:div w:id="405227920">
                              <w:marLeft w:val="0"/>
                              <w:marRight w:val="0"/>
                              <w:marTop w:val="0"/>
                              <w:marBottom w:val="0"/>
                              <w:divBdr>
                                <w:top w:val="none" w:sz="0" w:space="0" w:color="auto"/>
                                <w:left w:val="none" w:sz="0" w:space="0" w:color="auto"/>
                                <w:bottom w:val="none" w:sz="0" w:space="0" w:color="auto"/>
                                <w:right w:val="none" w:sz="0" w:space="0" w:color="auto"/>
                              </w:divBdr>
                              <w:divsChild>
                                <w:div w:id="1004280831">
                                  <w:marLeft w:val="0"/>
                                  <w:marRight w:val="0"/>
                                  <w:marTop w:val="0"/>
                                  <w:marBottom w:val="0"/>
                                  <w:divBdr>
                                    <w:top w:val="none" w:sz="0" w:space="0" w:color="auto"/>
                                    <w:left w:val="none" w:sz="0" w:space="0" w:color="auto"/>
                                    <w:bottom w:val="none" w:sz="0" w:space="0" w:color="auto"/>
                                    <w:right w:val="none" w:sz="0" w:space="0" w:color="auto"/>
                                  </w:divBdr>
                                </w:div>
                              </w:divsChild>
                            </w:div>
                            <w:div w:id="554851490">
                              <w:marLeft w:val="0"/>
                              <w:marRight w:val="0"/>
                              <w:marTop w:val="0"/>
                              <w:marBottom w:val="0"/>
                              <w:divBdr>
                                <w:top w:val="none" w:sz="0" w:space="0" w:color="auto"/>
                                <w:left w:val="none" w:sz="0" w:space="0" w:color="auto"/>
                                <w:bottom w:val="none" w:sz="0" w:space="0" w:color="auto"/>
                                <w:right w:val="none" w:sz="0" w:space="0" w:color="auto"/>
                              </w:divBdr>
                              <w:divsChild>
                                <w:div w:id="909002981">
                                  <w:marLeft w:val="0"/>
                                  <w:marRight w:val="0"/>
                                  <w:marTop w:val="0"/>
                                  <w:marBottom w:val="0"/>
                                  <w:divBdr>
                                    <w:top w:val="none" w:sz="0" w:space="0" w:color="auto"/>
                                    <w:left w:val="none" w:sz="0" w:space="0" w:color="auto"/>
                                    <w:bottom w:val="none" w:sz="0" w:space="0" w:color="auto"/>
                                    <w:right w:val="none" w:sz="0" w:space="0" w:color="auto"/>
                                  </w:divBdr>
                                </w:div>
                              </w:divsChild>
                            </w:div>
                            <w:div w:id="2116054193">
                              <w:marLeft w:val="0"/>
                              <w:marRight w:val="0"/>
                              <w:marTop w:val="0"/>
                              <w:marBottom w:val="0"/>
                              <w:divBdr>
                                <w:top w:val="none" w:sz="0" w:space="0" w:color="auto"/>
                                <w:left w:val="none" w:sz="0" w:space="0" w:color="auto"/>
                                <w:bottom w:val="none" w:sz="0" w:space="0" w:color="auto"/>
                                <w:right w:val="none" w:sz="0" w:space="0" w:color="auto"/>
                              </w:divBdr>
                              <w:divsChild>
                                <w:div w:id="1713925027">
                                  <w:marLeft w:val="0"/>
                                  <w:marRight w:val="0"/>
                                  <w:marTop w:val="0"/>
                                  <w:marBottom w:val="0"/>
                                  <w:divBdr>
                                    <w:top w:val="none" w:sz="0" w:space="0" w:color="auto"/>
                                    <w:left w:val="none" w:sz="0" w:space="0" w:color="auto"/>
                                    <w:bottom w:val="none" w:sz="0" w:space="0" w:color="auto"/>
                                    <w:right w:val="none" w:sz="0" w:space="0" w:color="auto"/>
                                  </w:divBdr>
                                </w:div>
                              </w:divsChild>
                            </w:div>
                            <w:div w:id="1656568073">
                              <w:marLeft w:val="0"/>
                              <w:marRight w:val="0"/>
                              <w:marTop w:val="0"/>
                              <w:marBottom w:val="0"/>
                              <w:divBdr>
                                <w:top w:val="none" w:sz="0" w:space="0" w:color="auto"/>
                                <w:left w:val="none" w:sz="0" w:space="0" w:color="auto"/>
                                <w:bottom w:val="none" w:sz="0" w:space="0" w:color="auto"/>
                                <w:right w:val="none" w:sz="0" w:space="0" w:color="auto"/>
                              </w:divBdr>
                              <w:divsChild>
                                <w:div w:id="2022008224">
                                  <w:marLeft w:val="0"/>
                                  <w:marRight w:val="0"/>
                                  <w:marTop w:val="0"/>
                                  <w:marBottom w:val="0"/>
                                  <w:divBdr>
                                    <w:top w:val="none" w:sz="0" w:space="0" w:color="auto"/>
                                    <w:left w:val="none" w:sz="0" w:space="0" w:color="auto"/>
                                    <w:bottom w:val="none" w:sz="0" w:space="0" w:color="auto"/>
                                    <w:right w:val="none" w:sz="0" w:space="0" w:color="auto"/>
                                  </w:divBdr>
                                </w:div>
                              </w:divsChild>
                            </w:div>
                            <w:div w:id="1858420958">
                              <w:marLeft w:val="0"/>
                              <w:marRight w:val="0"/>
                              <w:marTop w:val="0"/>
                              <w:marBottom w:val="0"/>
                              <w:divBdr>
                                <w:top w:val="none" w:sz="0" w:space="0" w:color="auto"/>
                                <w:left w:val="none" w:sz="0" w:space="0" w:color="auto"/>
                                <w:bottom w:val="none" w:sz="0" w:space="0" w:color="auto"/>
                                <w:right w:val="none" w:sz="0" w:space="0" w:color="auto"/>
                              </w:divBdr>
                              <w:divsChild>
                                <w:div w:id="960917281">
                                  <w:marLeft w:val="0"/>
                                  <w:marRight w:val="0"/>
                                  <w:marTop w:val="0"/>
                                  <w:marBottom w:val="0"/>
                                  <w:divBdr>
                                    <w:top w:val="none" w:sz="0" w:space="0" w:color="auto"/>
                                    <w:left w:val="none" w:sz="0" w:space="0" w:color="auto"/>
                                    <w:bottom w:val="none" w:sz="0" w:space="0" w:color="auto"/>
                                    <w:right w:val="none" w:sz="0" w:space="0" w:color="auto"/>
                                  </w:divBdr>
                                </w:div>
                              </w:divsChild>
                            </w:div>
                            <w:div w:id="323902508">
                              <w:marLeft w:val="0"/>
                              <w:marRight w:val="0"/>
                              <w:marTop w:val="0"/>
                              <w:marBottom w:val="0"/>
                              <w:divBdr>
                                <w:top w:val="none" w:sz="0" w:space="0" w:color="auto"/>
                                <w:left w:val="none" w:sz="0" w:space="0" w:color="auto"/>
                                <w:bottom w:val="none" w:sz="0" w:space="0" w:color="auto"/>
                                <w:right w:val="none" w:sz="0" w:space="0" w:color="auto"/>
                              </w:divBdr>
                              <w:divsChild>
                                <w:div w:id="521478510">
                                  <w:marLeft w:val="0"/>
                                  <w:marRight w:val="0"/>
                                  <w:marTop w:val="0"/>
                                  <w:marBottom w:val="0"/>
                                  <w:divBdr>
                                    <w:top w:val="none" w:sz="0" w:space="0" w:color="auto"/>
                                    <w:left w:val="none" w:sz="0" w:space="0" w:color="auto"/>
                                    <w:bottom w:val="none" w:sz="0" w:space="0" w:color="auto"/>
                                    <w:right w:val="none" w:sz="0" w:space="0" w:color="auto"/>
                                  </w:divBdr>
                                </w:div>
                              </w:divsChild>
                            </w:div>
                            <w:div w:id="1637177891">
                              <w:marLeft w:val="0"/>
                              <w:marRight w:val="0"/>
                              <w:marTop w:val="0"/>
                              <w:marBottom w:val="0"/>
                              <w:divBdr>
                                <w:top w:val="none" w:sz="0" w:space="0" w:color="auto"/>
                                <w:left w:val="none" w:sz="0" w:space="0" w:color="auto"/>
                                <w:bottom w:val="none" w:sz="0" w:space="0" w:color="auto"/>
                                <w:right w:val="none" w:sz="0" w:space="0" w:color="auto"/>
                              </w:divBdr>
                              <w:divsChild>
                                <w:div w:id="448663065">
                                  <w:marLeft w:val="0"/>
                                  <w:marRight w:val="0"/>
                                  <w:marTop w:val="0"/>
                                  <w:marBottom w:val="0"/>
                                  <w:divBdr>
                                    <w:top w:val="none" w:sz="0" w:space="0" w:color="auto"/>
                                    <w:left w:val="none" w:sz="0" w:space="0" w:color="auto"/>
                                    <w:bottom w:val="none" w:sz="0" w:space="0" w:color="auto"/>
                                    <w:right w:val="none" w:sz="0" w:space="0" w:color="auto"/>
                                  </w:divBdr>
                                </w:div>
                              </w:divsChild>
                            </w:div>
                            <w:div w:id="1208568941">
                              <w:marLeft w:val="0"/>
                              <w:marRight w:val="0"/>
                              <w:marTop w:val="0"/>
                              <w:marBottom w:val="0"/>
                              <w:divBdr>
                                <w:top w:val="none" w:sz="0" w:space="0" w:color="auto"/>
                                <w:left w:val="none" w:sz="0" w:space="0" w:color="auto"/>
                                <w:bottom w:val="none" w:sz="0" w:space="0" w:color="auto"/>
                                <w:right w:val="none" w:sz="0" w:space="0" w:color="auto"/>
                              </w:divBdr>
                              <w:divsChild>
                                <w:div w:id="279578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next.westlaw.com/Link/Document/FullText?findType=h&amp;pubNum=176284&amp;cite=0224420501&amp;originatingDoc=Idca90427c1ef11eabea4f0dc9fb69570&amp;refType=RQ&amp;originationContext=document&amp;transitionType=DocumentItem&amp;contextData=(sc.Search)&amp;analyticGuid=Idca90427c1ef11eabea4f0dc9fb69570" TargetMode="External"/><Relationship Id="rId13" Type="http://schemas.openxmlformats.org/officeDocument/2006/relationships/hyperlink" Target="https://1.next.westlaw.com/Link/Document/FullText?findType=Y&amp;serNum=1986132787&amp;pubNum=0000780&amp;originatingDoc=Idca90427c1ef11eabea4f0dc9fb69570&amp;refType=RP&amp;originationContext=document&amp;transitionType=DocumentItem&amp;contextData=(sc.Search)" TargetMode="External"/><Relationship Id="rId3" Type="http://schemas.openxmlformats.org/officeDocument/2006/relationships/webSettings" Target="webSettings.xml"/><Relationship Id="rId7" Type="http://schemas.openxmlformats.org/officeDocument/2006/relationships/hyperlink" Target="https://1.next.westlaw.com/Link/Document/FullText?findType=h&amp;pubNum=176284&amp;cite=0145172701&amp;originatingDoc=Idca90427c1ef11eabea4f0dc9fb69570&amp;refType=RQ&amp;originationContext=document&amp;transitionType=DocumentItem&amp;contextData=(sc.Search)&amp;analyticGuid=Idca90427c1ef11eabea4f0dc9fb69570" TargetMode="External"/><Relationship Id="rId12" Type="http://schemas.openxmlformats.org/officeDocument/2006/relationships/hyperlink" Target="https://1.next.westlaw.com/Link/Document/FullText?findType=Y&amp;serNum=1986132787&amp;pubNum=0000780&amp;originatingDoc=Idca90427c1ef11eabea4f0dc9fb69570&amp;refType=RP&amp;originationContext=document&amp;transitionType=DocumentItem&amp;contextData=(sc.Search)"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1.next.westlaw.com/Link/Document/FullText?entityType=disease&amp;entityId=Ibdafedd2475411db9765f9243f53508a&amp;originationContext=document&amp;transitionType=DocumentItem&amp;contextData=(sc.Default)" TargetMode="External"/><Relationship Id="rId11" Type="http://schemas.openxmlformats.org/officeDocument/2006/relationships/hyperlink" Target="https://1.next.westlaw.com/Link/Document/FullText?entityType=disease&amp;entityId=Ibdafedd2475411db9765f9243f53508a&amp;originationContext=document&amp;transitionType=DocumentItem&amp;contextData=(sc.Default)" TargetMode="External"/><Relationship Id="rId5" Type="http://schemas.openxmlformats.org/officeDocument/2006/relationships/hyperlink" Target="https://1.next.westlaw.com/Link/Document/FullText?findType=h&amp;pubNum=176284&amp;cite=0224420501&amp;originatingDoc=Idca90427c1ef11eabea4f0dc9fb69570&amp;refType=RQ&amp;originationContext=document&amp;transitionType=DocumentItem&amp;contextData=(sc.Search)&amp;analyticGuid=Idca90427c1ef11eabea4f0dc9fb69570" TargetMode="External"/><Relationship Id="rId15" Type="http://schemas.openxmlformats.org/officeDocument/2006/relationships/hyperlink" Target="https://1.next.westlaw.com/Link/Document/FullText?findType=Y&amp;serNum=1986132787&amp;pubNum=0000780&amp;originatingDoc=Idca90427c1ef11eabea4f0dc9fb69570&amp;refType=RP&amp;originationContext=document&amp;transitionType=DocumentItem&amp;contextData=(sc.Search)" TargetMode="External"/><Relationship Id="rId10" Type="http://schemas.openxmlformats.org/officeDocument/2006/relationships/hyperlink" Target="https://1.next.westlaw.com/Link/Document/FullText?findType=h&amp;pubNum=176284&amp;cite=0301239401&amp;originatingDoc=Idca90427c1ef11eabea4f0dc9fb69570&amp;refType=RQ&amp;originationContext=document&amp;transitionType=DocumentItem&amp;contextData=(sc.Search)&amp;analyticGuid=Idca90427c1ef11eabea4f0dc9fb69570" TargetMode="External"/><Relationship Id="rId4" Type="http://schemas.openxmlformats.org/officeDocument/2006/relationships/hyperlink" Target="https://1.next.westlaw.com/Link/Document/FullText?findType=h&amp;pubNum=176284&amp;cite=0254766801&amp;originatingDoc=Idca90427c1ef11eabea4f0dc9fb69570&amp;refType=RQ&amp;originationContext=document&amp;transitionType=DocumentItem&amp;contextData=(sc.Search)&amp;analyticGuid=Idca90427c1ef11eabea4f0dc9fb69570" TargetMode="External"/><Relationship Id="rId9" Type="http://schemas.openxmlformats.org/officeDocument/2006/relationships/hyperlink" Target="https://1.next.westlaw.com/Link/Document/FullText?findType=h&amp;pubNum=176284&amp;cite=0254766801&amp;originatingDoc=Idca90427c1ef11eabea4f0dc9fb69570&amp;refType=RQ&amp;originationContext=document&amp;transitionType=DocumentItem&amp;contextData=(sc.Search)&amp;analyticGuid=Idca90427c1ef11eabea4f0dc9fb69570" TargetMode="External"/><Relationship Id="rId14" Type="http://schemas.openxmlformats.org/officeDocument/2006/relationships/hyperlink" Target="https://1.next.westlaw.com/Link/Document/FullText?findType=Y&amp;serNum=1986132787&amp;pubNum=0000780&amp;originatingDoc=Idca90427c1ef11eabea4f0dc9fb69570&amp;refType=RP&amp;originationContext=document&amp;transitionType=DocumentItem&amp;contextData=(sc.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2382</Words>
  <Characters>13579</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Graber, Mark</dc:creator>
  <cp:keywords/>
  <dc:description/>
  <cp:lastModifiedBy>Graber, Mark</cp:lastModifiedBy>
  <cp:revision>2</cp:revision>
  <dcterms:created xsi:type="dcterms:W3CDTF">2020-12-10T18:56:00Z</dcterms:created>
  <dcterms:modified xsi:type="dcterms:W3CDTF">2020-12-10T18:56:00Z</dcterms:modified>
</cp:coreProperties>
</file>