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DE" w:rsidRPr="00B90CA9" w:rsidRDefault="00A05CDE" w:rsidP="00A05CDE">
      <w:pPr>
        <w:spacing w:after="0" w:line="240" w:lineRule="auto"/>
        <w:contextualSpacing/>
        <w:jc w:val="center"/>
        <w:rPr>
          <w:rFonts w:ascii="Calibri Light" w:eastAsia="Times New Roman" w:hAnsi="Calibri Light" w:cs="Calibri Light"/>
          <w:b/>
          <w:bCs/>
          <w:color w:val="011E41"/>
          <w:spacing w:val="-10"/>
          <w:kern w:val="28"/>
          <w:sz w:val="96"/>
          <w:szCs w:val="96"/>
          <w:lang w:val="en-GB"/>
        </w:rPr>
      </w:pPr>
      <w:r w:rsidRPr="00B90CA9">
        <w:rPr>
          <w:rFonts w:ascii="Calibri Light" w:eastAsia="Times New Roman" w:hAnsi="Calibri Light" w:cs="Calibri Light"/>
          <w:b/>
          <w:bCs/>
          <w:color w:val="011E41"/>
          <w:spacing w:val="-10"/>
          <w:kern w:val="28"/>
          <w:sz w:val="96"/>
          <w:szCs w:val="96"/>
          <w:lang w:val="en-GB"/>
        </w:rPr>
        <w:t>Teaching Language in Context</w:t>
      </w:r>
    </w:p>
    <w:p w:rsidR="00A05CDE" w:rsidRPr="00B90CA9" w:rsidRDefault="00A05CDE" w:rsidP="00A05CDE">
      <w:pPr>
        <w:jc w:val="center"/>
        <w:rPr>
          <w:rFonts w:eastAsiaTheme="minorEastAsia"/>
          <w:color w:val="595959"/>
          <w:spacing w:val="15"/>
          <w:sz w:val="52"/>
          <w:szCs w:val="52"/>
          <w:lang w:val="en-GB"/>
        </w:rPr>
      </w:pPr>
      <w:r w:rsidRPr="00A05CDE">
        <w:rPr>
          <w:rFonts w:eastAsiaTheme="minorEastAsia"/>
          <w:color w:val="595959"/>
          <w:spacing w:val="15"/>
          <w:sz w:val="52"/>
          <w:szCs w:val="52"/>
          <w:lang w:val="en-GB"/>
        </w:rPr>
        <w:t>Scope and sequence of genre</w:t>
      </w:r>
    </w:p>
    <w:p w:rsidR="00A05CDE" w:rsidRPr="00B90CA9" w:rsidRDefault="00A05CDE" w:rsidP="00A05CDE">
      <w:pPr>
        <w:jc w:val="center"/>
        <w:rPr>
          <w:lang w:val="en-GB"/>
        </w:rPr>
      </w:pPr>
      <w:r w:rsidRPr="00B90CA9">
        <w:rPr>
          <w:noProof/>
          <w:lang w:eastAsia="fr-FR"/>
        </w:rPr>
        <w:drawing>
          <wp:inline distT="0" distB="0" distL="0" distR="0" wp14:anchorId="11E2A272" wp14:editId="3E7EB7DF">
            <wp:extent cx="2203087" cy="2957084"/>
            <wp:effectExtent l="0" t="0" r="698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087" cy="295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CDE" w:rsidRPr="00B90CA9" w:rsidRDefault="00A05CDE" w:rsidP="00A05CDE">
      <w:pPr>
        <w:jc w:val="center"/>
        <w:rPr>
          <w:rFonts w:ascii="Century Gothic" w:hAnsi="Century Gothic"/>
          <w:b/>
          <w:bCs/>
          <w:sz w:val="36"/>
          <w:lang w:val="en-GB"/>
        </w:rPr>
      </w:pPr>
      <w:r w:rsidRPr="00B90CA9">
        <w:rPr>
          <w:rFonts w:ascii="Century Gothic" w:hAnsi="Century Gothic"/>
          <w:b/>
          <w:bCs/>
          <w:sz w:val="36"/>
          <w:lang w:val="en-GB"/>
        </w:rPr>
        <w:t>Beverly Derewianka &amp; Pauline Jones</w:t>
      </w:r>
    </w:p>
    <w:p w:rsidR="00A05CDE" w:rsidRPr="00B90CA9" w:rsidRDefault="00A05CDE" w:rsidP="00A05CDE">
      <w:pPr>
        <w:jc w:val="center"/>
        <w:rPr>
          <w:rFonts w:ascii="Calibri" w:eastAsia="Calibri" w:hAnsi="Calibri" w:cs="Times New Roman"/>
          <w:b/>
          <w:bCs/>
          <w:sz w:val="28"/>
          <w:lang w:val="en-GB"/>
        </w:rPr>
      </w:pPr>
      <w:r w:rsidRPr="00B90CA9">
        <w:rPr>
          <w:rFonts w:ascii="Century Gothic" w:eastAsia="Calibri" w:hAnsi="Century Gothic" w:cs="Times New Roman"/>
          <w:b/>
          <w:bCs/>
          <w:sz w:val="28"/>
          <w:lang w:val="en-GB"/>
        </w:rPr>
        <w:t>Oxford University Press</w:t>
      </w:r>
    </w:p>
    <w:p w:rsidR="00A05CDE" w:rsidRPr="00B90CA9" w:rsidRDefault="00A05CDE" w:rsidP="00A05CDE">
      <w:pPr>
        <w:jc w:val="center"/>
        <w:rPr>
          <w:rFonts w:ascii="Calibri" w:eastAsia="Calibri" w:hAnsi="Calibri" w:cs="Times New Roman"/>
          <w:highlight w:val="yellow"/>
          <w:lang w:val="en-GB"/>
        </w:rPr>
      </w:pPr>
      <w:r w:rsidRPr="00B90CA9">
        <w:rPr>
          <w:rFonts w:ascii="Calibri" w:eastAsia="Calibri" w:hAnsi="Calibri" w:cs="Times New Roman"/>
          <w:highlight w:val="yellow"/>
          <w:lang w:val="en-GB"/>
        </w:rPr>
        <w:t>ISBN: Print: 9780190354633</w:t>
      </w:r>
    </w:p>
    <w:p w:rsidR="00A05CDE" w:rsidRDefault="00A05CDE" w:rsidP="00A05CDE">
      <w:pPr>
        <w:jc w:val="center"/>
      </w:pPr>
      <w:r w:rsidRPr="00B90CA9">
        <w:rPr>
          <w:rFonts w:ascii="Calibri" w:eastAsia="Calibri" w:hAnsi="Calibri" w:cs="Times New Roman"/>
          <w:highlight w:val="yellow"/>
          <w:lang w:val="en-GB"/>
        </w:rPr>
        <w:t>ISBN: eBook: 9780190354640</w:t>
      </w:r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68"/>
        <w:gridCol w:w="3493"/>
        <w:gridCol w:w="1747"/>
        <w:gridCol w:w="1747"/>
        <w:gridCol w:w="3494"/>
        <w:gridCol w:w="3494"/>
        <w:gridCol w:w="3494"/>
      </w:tblGrid>
      <w:tr w:rsidR="00BF6E3D" w:rsidTr="00A05CDE">
        <w:tc>
          <w:tcPr>
            <w:tcW w:w="2568" w:type="dxa"/>
            <w:shd w:val="clear" w:color="auto" w:fill="5B9BD5" w:themeFill="accent1"/>
          </w:tcPr>
          <w:p w:rsidR="00BF6E3D" w:rsidRPr="00A05CDE" w:rsidRDefault="00BF6E3D" w:rsidP="00A05CDE">
            <w:pPr>
              <w:rPr>
                <w:color w:val="FFFFFF" w:themeColor="background1"/>
                <w:kern w:val="2"/>
                <w:sz w:val="24"/>
                <w:lang w:val="en-US"/>
                <w14:ligatures w14:val="standardContextual"/>
              </w:rPr>
            </w:pPr>
          </w:p>
        </w:tc>
        <w:tc>
          <w:tcPr>
            <w:tcW w:w="3493" w:type="dxa"/>
            <w:shd w:val="clear" w:color="auto" w:fill="5B9BD5" w:themeFill="accent1"/>
          </w:tcPr>
          <w:p w:rsidR="00BF6E3D" w:rsidRPr="00A05CDE" w:rsidRDefault="00BF6E3D" w:rsidP="00A05CDE">
            <w:pPr>
              <w:rPr>
                <w:color w:val="FFFFFF" w:themeColor="background1"/>
                <w:kern w:val="2"/>
                <w:sz w:val="24"/>
                <w:lang w:val="en-US"/>
                <w14:ligatures w14:val="standardContextual"/>
              </w:rPr>
            </w:pPr>
            <w:r w:rsidRPr="00A05CDE">
              <w:rPr>
                <w:color w:val="FFFFFF" w:themeColor="background1"/>
                <w:kern w:val="2"/>
                <w:sz w:val="24"/>
                <w:lang w:val="en-US"/>
                <w14:ligatures w14:val="standardContextual"/>
              </w:rPr>
              <w:t>F-2</w:t>
            </w:r>
          </w:p>
        </w:tc>
        <w:tc>
          <w:tcPr>
            <w:tcW w:w="3494" w:type="dxa"/>
            <w:gridSpan w:val="2"/>
            <w:shd w:val="clear" w:color="auto" w:fill="5B9BD5" w:themeFill="accent1"/>
          </w:tcPr>
          <w:p w:rsidR="00BF6E3D" w:rsidRPr="00A05CDE" w:rsidRDefault="00BF6E3D" w:rsidP="00A05CDE">
            <w:pPr>
              <w:rPr>
                <w:color w:val="FFFFFF" w:themeColor="background1"/>
                <w:kern w:val="2"/>
                <w:sz w:val="24"/>
                <w:lang w:val="en-US"/>
                <w14:ligatures w14:val="standardContextual"/>
              </w:rPr>
            </w:pPr>
            <w:r w:rsidRPr="00A05CDE">
              <w:rPr>
                <w:color w:val="FFFFFF" w:themeColor="background1"/>
                <w:kern w:val="2"/>
                <w:sz w:val="24"/>
                <w:lang w:val="en-US"/>
                <w14:ligatures w14:val="standardContextual"/>
              </w:rPr>
              <w:t>3-4</w:t>
            </w:r>
          </w:p>
        </w:tc>
        <w:tc>
          <w:tcPr>
            <w:tcW w:w="3494" w:type="dxa"/>
            <w:shd w:val="clear" w:color="auto" w:fill="5B9BD5" w:themeFill="accent1"/>
          </w:tcPr>
          <w:p w:rsidR="00BF6E3D" w:rsidRPr="00A05CDE" w:rsidRDefault="00BF6E3D" w:rsidP="00A05CDE">
            <w:pPr>
              <w:rPr>
                <w:color w:val="FFFFFF" w:themeColor="background1"/>
                <w:kern w:val="2"/>
                <w:sz w:val="24"/>
                <w:lang w:val="en-US"/>
                <w14:ligatures w14:val="standardContextual"/>
              </w:rPr>
            </w:pPr>
            <w:r w:rsidRPr="00A05CDE">
              <w:rPr>
                <w:color w:val="FFFFFF" w:themeColor="background1"/>
                <w:kern w:val="2"/>
                <w:sz w:val="24"/>
                <w:lang w:val="en-US"/>
                <w14:ligatures w14:val="standardContextual"/>
              </w:rPr>
              <w:t>5-6</w:t>
            </w:r>
          </w:p>
        </w:tc>
        <w:tc>
          <w:tcPr>
            <w:tcW w:w="3494" w:type="dxa"/>
            <w:shd w:val="clear" w:color="auto" w:fill="5B9BD5" w:themeFill="accent1"/>
          </w:tcPr>
          <w:p w:rsidR="00BF6E3D" w:rsidRPr="00A05CDE" w:rsidRDefault="00BF6E3D" w:rsidP="00A05CDE">
            <w:pPr>
              <w:rPr>
                <w:color w:val="FFFFFF" w:themeColor="background1"/>
                <w:kern w:val="2"/>
                <w:sz w:val="24"/>
                <w:lang w:val="en-US"/>
                <w14:ligatures w14:val="standardContextual"/>
              </w:rPr>
            </w:pPr>
            <w:r w:rsidRPr="00A05CDE">
              <w:rPr>
                <w:color w:val="FFFFFF" w:themeColor="background1"/>
                <w:kern w:val="2"/>
                <w:sz w:val="24"/>
                <w:lang w:val="en-US"/>
                <w14:ligatures w14:val="standardContextual"/>
              </w:rPr>
              <w:t>7-8</w:t>
            </w:r>
          </w:p>
        </w:tc>
        <w:tc>
          <w:tcPr>
            <w:tcW w:w="3494" w:type="dxa"/>
            <w:shd w:val="clear" w:color="auto" w:fill="5B9BD5" w:themeFill="accent1"/>
          </w:tcPr>
          <w:p w:rsidR="00BF6E3D" w:rsidRPr="00A05CDE" w:rsidRDefault="00BF6E3D" w:rsidP="00A05CDE">
            <w:pPr>
              <w:rPr>
                <w:color w:val="FFFFFF" w:themeColor="background1"/>
                <w:kern w:val="2"/>
                <w:sz w:val="24"/>
                <w:lang w:val="en-US"/>
                <w14:ligatures w14:val="standardContextual"/>
              </w:rPr>
            </w:pPr>
            <w:r w:rsidRPr="00A05CDE">
              <w:rPr>
                <w:color w:val="FFFFFF" w:themeColor="background1"/>
                <w:kern w:val="2"/>
                <w:sz w:val="24"/>
                <w:lang w:val="en-US"/>
                <w14:ligatures w14:val="standardContextual"/>
              </w:rPr>
              <w:t>9-10</w:t>
            </w:r>
          </w:p>
        </w:tc>
      </w:tr>
      <w:tr w:rsidR="00BF6E3D" w:rsidTr="00A05CDE">
        <w:tc>
          <w:tcPr>
            <w:tcW w:w="2568" w:type="dxa"/>
            <w:shd w:val="clear" w:color="auto" w:fill="DEEAF6" w:themeFill="accent1" w:themeFillTint="33"/>
          </w:tcPr>
          <w:p w:rsidR="00BF6E3D" w:rsidRPr="00A05CDE" w:rsidRDefault="00BF6E3D" w:rsidP="00A05CDE">
            <w:pPr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</w:pPr>
            <w:r w:rsidRPr="00A05CDE"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  <w:t>Appreciating and creating stories</w:t>
            </w: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Immersion in narratives, shared and independent reading of familiar texts, creating (initially) brief, often multimodal stories</w:t>
            </w:r>
          </w:p>
        </w:tc>
        <w:tc>
          <w:tcPr>
            <w:tcW w:w="13976" w:type="dxa"/>
            <w:gridSpan w:val="5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Increasingly more explicit awareness of how stories work through collaborative reading, discussing and composing of stories using different modes (linguistic, visual, aural, spatial and gestural) in a variety of media (oral or live, print, screen or digital)</w:t>
            </w:r>
          </w:p>
        </w:tc>
      </w:tr>
      <w:tr w:rsidR="00BF6E3D" w:rsidTr="00A05CDE">
        <w:trPr>
          <w:trHeight w:val="162"/>
        </w:trPr>
        <w:tc>
          <w:tcPr>
            <w:tcW w:w="2568" w:type="dxa"/>
            <w:vMerge w:val="restart"/>
            <w:shd w:val="clear" w:color="auto" w:fill="DEEAF6" w:themeFill="accent1" w:themeFillTint="33"/>
          </w:tcPr>
          <w:p w:rsidR="00BF6E3D" w:rsidRPr="00A05CDE" w:rsidRDefault="00BF6E3D" w:rsidP="00A05CDE">
            <w:pPr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</w:pPr>
            <w:r w:rsidRPr="00A05CDE"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  <w:t>Recounting what happened</w:t>
            </w: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Simple recounts of personal experience (oral initially)</w:t>
            </w:r>
          </w:p>
        </w:tc>
        <w:tc>
          <w:tcPr>
            <w:tcW w:w="3494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Written recounts of group experiences (excursions)</w:t>
            </w: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</w:tr>
      <w:tr w:rsidR="00BF6E3D" w:rsidTr="00A05CDE">
        <w:trPr>
          <w:trHeight w:val="160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6988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Procedural recounts in oral and written modes</w:t>
            </w: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</w:tr>
      <w:tr w:rsidR="00BF6E3D" w:rsidTr="00A05CDE">
        <w:trPr>
          <w:trHeight w:val="160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6988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Biographies, autobiographical recounts</w:t>
            </w: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</w:tr>
      <w:tr w:rsidR="00BF6E3D" w:rsidTr="00A05CDE">
        <w:trPr>
          <w:trHeight w:val="160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10482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Empathetic recounts/biographies, literary recounts</w:t>
            </w:r>
          </w:p>
        </w:tc>
      </w:tr>
      <w:tr w:rsidR="00BF6E3D" w:rsidTr="00A05CDE">
        <w:trPr>
          <w:trHeight w:val="160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6988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Historical accounts (with elements of explanation)</w:t>
            </w:r>
          </w:p>
        </w:tc>
      </w:tr>
      <w:tr w:rsidR="00BF6E3D" w:rsidTr="00A05CDE">
        <w:trPr>
          <w:trHeight w:val="202"/>
        </w:trPr>
        <w:tc>
          <w:tcPr>
            <w:tcW w:w="2568" w:type="dxa"/>
            <w:vMerge w:val="restart"/>
            <w:shd w:val="clear" w:color="auto" w:fill="DEEAF6" w:themeFill="accent1" w:themeFillTint="33"/>
          </w:tcPr>
          <w:p w:rsidR="00BF6E3D" w:rsidRPr="00A05CDE" w:rsidRDefault="00BF6E3D" w:rsidP="00A05CDE">
            <w:pPr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</w:pPr>
            <w:r w:rsidRPr="00A05CDE"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  <w:t>Responding to texts and artworks</w:t>
            </w: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Brief emotional responses</w:t>
            </w:r>
          </w:p>
        </w:tc>
        <w:tc>
          <w:tcPr>
            <w:tcW w:w="1747" w:type="dxa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Personal responses to texts and so on</w:t>
            </w:r>
          </w:p>
        </w:tc>
        <w:tc>
          <w:tcPr>
            <w:tcW w:w="5241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Reviews of literary and media texts, artworks and games</w:t>
            </w: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</w:tr>
      <w:tr w:rsidR="00BF6E3D" w:rsidTr="00A05CDE">
        <w:trPr>
          <w:trHeight w:val="200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10482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Analytical responses including character analyses, and in secondary school stylistic analyses, comparative analyses</w:t>
            </w:r>
          </w:p>
        </w:tc>
      </w:tr>
      <w:tr w:rsidR="00BF6E3D" w:rsidTr="00A05CDE">
        <w:trPr>
          <w:trHeight w:val="200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6988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Interpretive analyses</w:t>
            </w:r>
          </w:p>
        </w:tc>
      </w:tr>
      <w:tr w:rsidR="00BF6E3D" w:rsidTr="00A05CDE">
        <w:trPr>
          <w:trHeight w:val="200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Critical analyses</w:t>
            </w:r>
          </w:p>
        </w:tc>
      </w:tr>
      <w:tr w:rsidR="00BF6E3D" w:rsidTr="00A05CDE">
        <w:trPr>
          <w:trHeight w:val="162"/>
        </w:trPr>
        <w:tc>
          <w:tcPr>
            <w:tcW w:w="2568" w:type="dxa"/>
            <w:vMerge w:val="restart"/>
            <w:shd w:val="clear" w:color="auto" w:fill="DEEAF6" w:themeFill="accent1" w:themeFillTint="33"/>
          </w:tcPr>
          <w:p w:rsidR="00BF6E3D" w:rsidRPr="00A05CDE" w:rsidRDefault="00BF6E3D" w:rsidP="00A05CDE">
            <w:pPr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</w:pPr>
            <w:r w:rsidRPr="00A05CDE"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  <w:t>Observing and describing the world</w:t>
            </w: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Simple descriptions of specific entities (often spoken and with image)</w:t>
            </w:r>
          </w:p>
        </w:tc>
        <w:tc>
          <w:tcPr>
            <w:tcW w:w="10482" w:type="dxa"/>
            <w:gridSpan w:val="4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Descriptive reports (often multimodal) about more complex and generalised phenomena</w:t>
            </w: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</w:tr>
      <w:tr w:rsidR="00BF6E3D" w:rsidTr="00A05CDE">
        <w:trPr>
          <w:trHeight w:val="160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13976" w:type="dxa"/>
            <w:gridSpan w:val="5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Classifying reports</w:t>
            </w:r>
          </w:p>
        </w:tc>
      </w:tr>
      <w:tr w:rsidR="00BF6E3D" w:rsidTr="00A05CDE">
        <w:trPr>
          <w:trHeight w:val="160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6987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Compositional reports (as labelled diagrams)</w:t>
            </w:r>
          </w:p>
        </w:tc>
        <w:tc>
          <w:tcPr>
            <w:tcW w:w="10482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Compositional reports comprising language and image (diagrams, photographs or drawings)</w:t>
            </w:r>
          </w:p>
        </w:tc>
      </w:tr>
      <w:tr w:rsidR="00BF6E3D" w:rsidTr="00A05CDE">
        <w:trPr>
          <w:trHeight w:val="160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10482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Contrastive reports</w:t>
            </w:r>
          </w:p>
        </w:tc>
      </w:tr>
      <w:tr w:rsidR="00BF6E3D" w:rsidTr="00A05CDE">
        <w:trPr>
          <w:trHeight w:val="160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10482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Historical reports &gt;&gt; period studies and site interpretations</w:t>
            </w:r>
          </w:p>
        </w:tc>
      </w:tr>
      <w:tr w:rsidR="00BF6E3D" w:rsidTr="00A05CDE">
        <w:tc>
          <w:tcPr>
            <w:tcW w:w="2568" w:type="dxa"/>
            <w:shd w:val="clear" w:color="auto" w:fill="DEEAF6" w:themeFill="accent1" w:themeFillTint="33"/>
          </w:tcPr>
          <w:p w:rsidR="00BF6E3D" w:rsidRPr="00A05CDE" w:rsidRDefault="00BF6E3D" w:rsidP="00A05CDE">
            <w:pPr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</w:pPr>
            <w:r w:rsidRPr="00A05CDE"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  <w:t>Explaining how and why</w:t>
            </w: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 xml:space="preserve">Simple sequential explanations of familiar phenomena (often oral </w:t>
            </w:r>
            <w:bookmarkStart w:id="0" w:name="_GoBack"/>
            <w:bookmarkEnd w:id="0"/>
            <w:r w:rsidRPr="00BF6E3D">
              <w:rPr>
                <w:lang w:val="en-GB"/>
              </w:rPr>
              <w:t>accompanied by image)</w:t>
            </w:r>
          </w:p>
        </w:tc>
        <w:tc>
          <w:tcPr>
            <w:tcW w:w="3494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Spoken, written and multimodal sequential explanations of more complex phenomena</w:t>
            </w:r>
          </w:p>
        </w:tc>
        <w:tc>
          <w:tcPr>
            <w:tcW w:w="10482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Multimodal sequential explanations of increasingly more complex phenomena as topics become more subject-specific and include abstract and technical entities and processes</w:t>
            </w:r>
          </w:p>
        </w:tc>
      </w:tr>
      <w:tr w:rsidR="00BF6E3D" w:rsidTr="00A05CDE">
        <w:trPr>
          <w:trHeight w:val="206"/>
        </w:trPr>
        <w:tc>
          <w:tcPr>
            <w:tcW w:w="2568" w:type="dxa"/>
            <w:vMerge w:val="restart"/>
            <w:shd w:val="clear" w:color="auto" w:fill="DEEAF6" w:themeFill="accent1" w:themeFillTint="33"/>
          </w:tcPr>
          <w:p w:rsidR="00BF6E3D" w:rsidRPr="00A05CDE" w:rsidRDefault="00BF6E3D" w:rsidP="00A05CDE">
            <w:pPr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</w:pPr>
            <w:r w:rsidRPr="00A05CDE"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  <w:t>Persuading others</w:t>
            </w:r>
          </w:p>
        </w:tc>
        <w:tc>
          <w:tcPr>
            <w:tcW w:w="6987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Expressing opinions in brief spoken, written, multimodal texts &gt;&gt; simple arguments about familiar ideas and topics jointly researched by class</w:t>
            </w: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</w:tr>
      <w:tr w:rsidR="00BF6E3D" w:rsidTr="00A05CDE">
        <w:trPr>
          <w:trHeight w:val="205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6988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Spoken, written and multimodal arguments (including speeches) supported by evidence on less familiar topics to familiar audiences with increasingly ‘objective’ stance</w:t>
            </w:r>
          </w:p>
        </w:tc>
        <w:tc>
          <w:tcPr>
            <w:tcW w:w="6988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Sustained well-researched arguments dealing with more complex issues, including formal debates and speeches to unfamiliar audiences</w:t>
            </w:r>
          </w:p>
        </w:tc>
      </w:tr>
      <w:tr w:rsidR="00BF6E3D" w:rsidTr="00A05CDE">
        <w:trPr>
          <w:trHeight w:val="105"/>
        </w:trPr>
        <w:tc>
          <w:tcPr>
            <w:tcW w:w="2568" w:type="dxa"/>
            <w:vMerge w:val="restart"/>
            <w:shd w:val="clear" w:color="auto" w:fill="DEEAF6" w:themeFill="accent1" w:themeFillTint="33"/>
          </w:tcPr>
          <w:p w:rsidR="00BF6E3D" w:rsidRPr="00A05CDE" w:rsidRDefault="00BF6E3D" w:rsidP="00A05CDE">
            <w:pPr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</w:pPr>
            <w:r w:rsidRPr="00A05CDE"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  <w:t>Texts for inquiring</w:t>
            </w:r>
          </w:p>
        </w:tc>
        <w:tc>
          <w:tcPr>
            <w:tcW w:w="6987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Simple investigations of observable phenomena, recorded as drawings and initially brief multimodal texts</w:t>
            </w: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Investigation reports of topics with greater depth</w:t>
            </w:r>
          </w:p>
        </w:tc>
        <w:tc>
          <w:tcPr>
            <w:tcW w:w="6988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Investigation reports as extended, multi-stage texts (often digital and multimodal with complex diagrams and tables)</w:t>
            </w:r>
          </w:p>
        </w:tc>
      </w:tr>
      <w:tr w:rsidR="00BF6E3D" w:rsidTr="00A05CDE">
        <w:trPr>
          <w:trHeight w:val="102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6988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Fair test reports (simple experiments with 1 variable)</w:t>
            </w:r>
          </w:p>
        </w:tc>
        <w:tc>
          <w:tcPr>
            <w:tcW w:w="6988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Experimental reports (incl. prac reports and science reports)</w:t>
            </w:r>
          </w:p>
        </w:tc>
      </w:tr>
      <w:tr w:rsidR="00BF6E3D" w:rsidTr="00A05CDE">
        <w:trPr>
          <w:trHeight w:val="102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6988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Design reports addressing local and familiar issues (often in teams)</w:t>
            </w:r>
          </w:p>
        </w:tc>
        <w:tc>
          <w:tcPr>
            <w:tcW w:w="6988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Design portfolios in response to more complex and larger scale problems across a range of subjects</w:t>
            </w:r>
          </w:p>
        </w:tc>
      </w:tr>
      <w:tr w:rsidR="00BF6E3D" w:rsidTr="00A05CDE">
        <w:trPr>
          <w:trHeight w:val="102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6988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Problem solution reports dealing with local and familiar issues</w:t>
            </w:r>
          </w:p>
        </w:tc>
        <w:tc>
          <w:tcPr>
            <w:tcW w:w="6988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Problem solution reports dealing with more abstract and technical information</w:t>
            </w:r>
          </w:p>
        </w:tc>
      </w:tr>
      <w:tr w:rsidR="00BF6E3D" w:rsidTr="00A05CDE">
        <w:trPr>
          <w:trHeight w:val="137"/>
        </w:trPr>
        <w:tc>
          <w:tcPr>
            <w:tcW w:w="2568" w:type="dxa"/>
            <w:vMerge w:val="restart"/>
            <w:shd w:val="clear" w:color="auto" w:fill="DEEAF6" w:themeFill="accent1" w:themeFillTint="33"/>
          </w:tcPr>
          <w:p w:rsidR="00BF6E3D" w:rsidRPr="00A05CDE" w:rsidRDefault="00BF6E3D" w:rsidP="00A05CDE">
            <w:pPr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</w:pPr>
            <w:r w:rsidRPr="00A05CDE">
              <w:rPr>
                <w:b/>
                <w:color w:val="000000" w:themeColor="text1"/>
                <w:kern w:val="2"/>
                <w:lang w:val="en-US"/>
                <w14:ligatures w14:val="standardContextual"/>
              </w:rPr>
              <w:t>Poetry</w:t>
            </w:r>
          </w:p>
        </w:tc>
        <w:tc>
          <w:tcPr>
            <w:tcW w:w="10481" w:type="dxa"/>
            <w:gridSpan w:val="4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Poetry in a range of genres (including recounts, exempla, descriptions), often featuring wordplay and humour in multimodal forms</w:t>
            </w: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</w:tr>
      <w:tr w:rsidR="00BF6E3D" w:rsidTr="00A05CDE">
        <w:trPr>
          <w:trHeight w:val="137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10482" w:type="dxa"/>
            <w:gridSpan w:val="4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Poetry as description (often of particular places and people), recounts of events</w:t>
            </w:r>
          </w:p>
        </w:tc>
        <w:tc>
          <w:tcPr>
            <w:tcW w:w="3494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</w:tr>
      <w:tr w:rsidR="00BF6E3D" w:rsidTr="00A05CDE">
        <w:trPr>
          <w:trHeight w:val="137"/>
        </w:trPr>
        <w:tc>
          <w:tcPr>
            <w:tcW w:w="2568" w:type="dxa"/>
            <w:vMerge/>
            <w:shd w:val="clear" w:color="auto" w:fill="DEEAF6" w:themeFill="accent1" w:themeFillTint="33"/>
          </w:tcPr>
          <w:p w:rsidR="00BF6E3D" w:rsidRPr="00BD5298" w:rsidRDefault="00BF6E3D" w:rsidP="00BF6E3D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493" w:type="dxa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3494" w:type="dxa"/>
            <w:gridSpan w:val="2"/>
          </w:tcPr>
          <w:p w:rsidR="00BF6E3D" w:rsidRDefault="00BF6E3D" w:rsidP="00BF6E3D">
            <w:pPr>
              <w:rPr>
                <w:lang w:val="en-GB"/>
              </w:rPr>
            </w:pPr>
          </w:p>
        </w:tc>
        <w:tc>
          <w:tcPr>
            <w:tcW w:w="10482" w:type="dxa"/>
            <w:gridSpan w:val="3"/>
          </w:tcPr>
          <w:p w:rsidR="00BF6E3D" w:rsidRDefault="00BF6E3D" w:rsidP="00BF6E3D">
            <w:pPr>
              <w:rPr>
                <w:lang w:val="en-GB"/>
              </w:rPr>
            </w:pPr>
            <w:r w:rsidRPr="00BF6E3D">
              <w:rPr>
                <w:lang w:val="en-GB"/>
              </w:rPr>
              <w:t>Poetry as recounts and narratives, and as challenges in secondary school</w:t>
            </w:r>
          </w:p>
        </w:tc>
      </w:tr>
    </w:tbl>
    <w:p w:rsidR="00F94D64" w:rsidRPr="00BF6E3D" w:rsidRDefault="00F94D64">
      <w:pPr>
        <w:rPr>
          <w:lang w:val="en-GB"/>
        </w:rPr>
      </w:pPr>
    </w:p>
    <w:sectPr w:rsidR="00F94D64" w:rsidRPr="00BF6E3D" w:rsidSect="009D48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08" w:h="16840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CDE" w:rsidRDefault="00A05CDE" w:rsidP="00A05CDE">
      <w:pPr>
        <w:spacing w:after="0" w:line="240" w:lineRule="auto"/>
      </w:pPr>
      <w:r>
        <w:separator/>
      </w:r>
    </w:p>
  </w:endnote>
  <w:endnote w:type="continuationSeparator" w:id="0">
    <w:p w:rsidR="00A05CDE" w:rsidRDefault="00A05CDE" w:rsidP="00A05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CDE" w:rsidRDefault="00A05CD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CDE" w:rsidRPr="00A05CDE" w:rsidRDefault="00A05CDE" w:rsidP="00A05CDE">
    <w:pPr>
      <w:pStyle w:val="Pieddepage"/>
      <w:rPr>
        <w:rFonts w:ascii="Calibri" w:eastAsia="Calibri" w:hAnsi="Calibri" w:cs="Times New Roman"/>
        <w:kern w:val="2"/>
        <w:sz w:val="16"/>
        <w:lang w:val="en-US"/>
        <w14:ligatures w14:val="standardContextual"/>
      </w:rPr>
    </w:pPr>
    <w:r w:rsidRPr="00A05CDE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t>© Oxford University Press 2026</w:t>
    </w:r>
    <w:r w:rsidRPr="00A05CDE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ptab w:relativeTo="margin" w:alignment="right" w:leader="none"/>
    </w:r>
    <w:r w:rsidRPr="00A05CDE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t xml:space="preserve">Page </w:t>
    </w:r>
    <w:r w:rsidRPr="00A05CDE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fldChar w:fldCharType="begin"/>
    </w:r>
    <w:r w:rsidRPr="00A05CDE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instrText xml:space="preserve"> PAGE   \* MERGEFORMAT </w:instrText>
    </w:r>
    <w:r w:rsidRPr="00A05CDE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fldChar w:fldCharType="separate"/>
    </w:r>
    <w:r w:rsidR="00EF189A">
      <w:rPr>
        <w:rFonts w:ascii="Calibri" w:eastAsia="Calibri" w:hAnsi="Calibri" w:cs="Times New Roman"/>
        <w:noProof/>
        <w:kern w:val="2"/>
        <w:sz w:val="16"/>
        <w:lang w:val="en-US"/>
        <w14:ligatures w14:val="standardContextual"/>
      </w:rPr>
      <w:t>2</w:t>
    </w:r>
    <w:r w:rsidRPr="00A05CDE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fldChar w:fldCharType="end"/>
    </w:r>
  </w:p>
  <w:p w:rsidR="00A05CDE" w:rsidRPr="00A05CDE" w:rsidRDefault="00A05CDE" w:rsidP="00A05CDE">
    <w:pPr>
      <w:pBdr>
        <w:top w:val="single" w:sz="6" w:space="3" w:color="BFBFBF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kern w:val="2"/>
        <w:sz w:val="16"/>
        <w:lang w:val="en-US"/>
        <w14:ligatures w14:val="standardContextual"/>
      </w:rPr>
    </w:pPr>
    <w:r w:rsidRPr="00A05CDE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t>Permission has been granted for this page to be photocopied within the purchasing institution only. No part of this publication may be reproduced, stored in a retrieval system, transmitted, used for text and data mining, or used for training artificial intelligence. </w:t>
    </w:r>
  </w:p>
  <w:p w:rsidR="00A05CDE" w:rsidRDefault="00A05CDE">
    <w:pPr>
      <w:pStyle w:val="Pieddepage"/>
    </w:pPr>
  </w:p>
  <w:p w:rsidR="00A05CDE" w:rsidRDefault="00A05CD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CDE" w:rsidRDefault="00A05CD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CDE" w:rsidRDefault="00A05CDE" w:rsidP="00A05CDE">
      <w:pPr>
        <w:spacing w:after="0" w:line="240" w:lineRule="auto"/>
      </w:pPr>
      <w:r>
        <w:separator/>
      </w:r>
    </w:p>
  </w:footnote>
  <w:footnote w:type="continuationSeparator" w:id="0">
    <w:p w:rsidR="00A05CDE" w:rsidRDefault="00A05CDE" w:rsidP="00A05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CDE" w:rsidRDefault="00A05CD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CDE" w:rsidRDefault="00A05CDE">
    <w:pPr>
      <w:pStyle w:val="En-tte"/>
    </w:pPr>
    <w:r w:rsidRPr="00A05CDE">
      <w:rPr>
        <w:rFonts w:ascii="Calibri" w:eastAsia="Calibri" w:hAnsi="Calibri" w:cs="Times New Roman"/>
        <w:noProof/>
        <w:kern w:val="2"/>
        <w:lang w:eastAsia="fr-FR"/>
        <w14:ligatures w14:val="standardContextual"/>
      </w:rPr>
      <w:drawing>
        <wp:inline distT="0" distB="0" distL="0" distR="0" wp14:anchorId="3C60B2EF" wp14:editId="64BD3F88">
          <wp:extent cx="2718000" cy="964800"/>
          <wp:effectExtent l="0" t="0" r="0" b="0"/>
          <wp:docPr id="4" name="image1.png">
            <a:extLst xmlns:a="http://schemas.openxmlformats.org/drawingml/2006/main">
              <a:ext uri="{C183D7F6-B498-43B3-948B-1728B52AA6E4}">
                <adec:decorative xmlns="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xmlns:arto="http://schemas.microsoft.com/office/word/2006/arto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>
                    <a:extLst>
                      <a:ext uri="{C183D7F6-B498-43B3-948B-1728B52AA6E4}">
                        <adec:decorative xmlns="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xmlns:arto="http://schemas.microsoft.com/office/word/2006/arto" val="1"/>
                      </a:ext>
                    </a:extLst>
                  </pic:cNvPr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8000" cy="96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05CDE" w:rsidRDefault="00A05CD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CDE" w:rsidRDefault="00A05CD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E3D"/>
    <w:rsid w:val="009D486E"/>
    <w:rsid w:val="00A05CDE"/>
    <w:rsid w:val="00BF6E3D"/>
    <w:rsid w:val="00EF189A"/>
    <w:rsid w:val="00F9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227B02-6912-4724-B678-D855A5AD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F6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05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5CDE"/>
  </w:style>
  <w:style w:type="paragraph" w:styleId="Pieddepage">
    <w:name w:val="footer"/>
    <w:basedOn w:val="Normal"/>
    <w:link w:val="PieddepageCar"/>
    <w:uiPriority w:val="99"/>
    <w:unhideWhenUsed/>
    <w:rsid w:val="00A05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5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4A8B6EFA9C74A929C1691FA89ACA2" ma:contentTypeVersion="28" ma:contentTypeDescription="Create a new document." ma:contentTypeScope="" ma:versionID="f12f4a8fbefd4c1c38d02fbfc39350d1">
  <xsd:schema xmlns:xsd="http://www.w3.org/2001/XMLSchema" xmlns:xs="http://www.w3.org/2001/XMLSchema" xmlns:p="http://schemas.microsoft.com/office/2006/metadata/properties" xmlns:ns1="http://schemas.microsoft.com/sharepoint/v3" xmlns:ns2="86c803ff-60ea-4821-8561-49a30c846f16" xmlns:ns3="23021986-1927-41b2-ad02-75262291dab9" targetNamespace="http://schemas.microsoft.com/office/2006/metadata/properties" ma:root="true" ma:fieldsID="9996b4a4e096604b2276771b640f7172" ns1:_="" ns2:_="" ns3:_="">
    <xsd:import namespace="http://schemas.microsoft.com/sharepoint/v3"/>
    <xsd:import namespace="86c803ff-60ea-4821-8561-49a30c846f16"/>
    <xsd:import namespace="23021986-1927-41b2-ad02-75262291d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Division" minOccurs="0"/>
                <xsd:element ref="ns3:Documenttype" minOccurs="0"/>
                <xsd:element ref="ns3:Workflowstage" minOccurs="0"/>
                <xsd:element ref="ns3:Approved" minOccurs="0"/>
                <xsd:element ref="ns3:Documentowner" minOccurs="0"/>
                <xsd:element ref="ns3:Dateandtime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803ff-60ea-4821-8561-49a30c846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659d18c-911b-4461-9f29-2e839d503b97}" ma:internalName="TaxCatchAll" ma:showField="CatchAllData" ma:web="86c803ff-60ea-4821-8561-49a30c846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21986-1927-41b2-ad02-75262291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ivision" ma:index="27" nillable="true" ma:displayName="Division" ma:format="Dropdown" ma:internalName="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condary"/>
                    <xsd:enumeration value="Primary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28" nillable="true" ma:displayName="Document type" ma:format="Dropdown" ma:indexed="true" ma:internalName="Documenttype">
      <xsd:simpleType>
        <xsd:restriction base="dms:Text">
          <xsd:maxLength value="255"/>
        </xsd:restriction>
      </xsd:simpleType>
    </xsd:element>
    <xsd:element name="Workflowstage" ma:index="29" nillable="true" ma:displayName="Workflow stage" ma:format="Dropdown" ma:internalName="Workflowst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ng &amp; development"/>
                    <xsd:enumeration value="Editing"/>
                    <xsd:enumeration value="Artwork"/>
                    <xsd:enumeration value="Layout &amp; design"/>
                    <xsd:enumeration value="Digital resources"/>
                    <xsd:enumeration value="Diversity &amp; inclusion"/>
                    <xsd:enumeration value="E2E"/>
                  </xsd:restriction>
                </xsd:simpleType>
              </xsd:element>
            </xsd:sequence>
          </xsd:extension>
        </xsd:complexContent>
      </xsd:complexType>
    </xsd:element>
    <xsd:element name="Approved" ma:index="30" nillable="true" ma:displayName="Approved" ma:default="0" ma:format="Dropdown" ma:internalName="Approved">
      <xsd:simpleType>
        <xsd:restriction base="dms:Boolean"/>
      </xsd:simpleType>
    </xsd:element>
    <xsd:element name="Documentowner" ma:index="31" nillable="true" ma:displayName="Docum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andtime" ma:index="32" nillable="true" ma:displayName="Date and time" ma:format="DateTime" ma:internalName="Dateandtime">
      <xsd:simpleType>
        <xsd:restriction base="dms:DateTime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4" nillable="true" ma:displayName="Sign-off status" ma:internalName="Sign_x002d_off_x0020_status">
      <xsd:simpleType>
        <xsd:restriction base="dms:Text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23021986-1927-41b2-ad02-75262291dab9" xsi:nil="true"/>
    <Approved xmlns="23021986-1927-41b2-ad02-75262291dab9">false</Approved>
    <TaxCatchAll xmlns="86c803ff-60ea-4821-8561-49a30c846f16" xsi:nil="true"/>
    <Division xmlns="23021986-1927-41b2-ad02-75262291dab9" xsi:nil="true"/>
    <_ip_UnifiedCompliancePolicyProperties xmlns="http://schemas.microsoft.com/sharepoint/v3" xsi:nil="true"/>
    <Dateandtime xmlns="23021986-1927-41b2-ad02-75262291dab9" xsi:nil="true"/>
    <Documenttype xmlns="23021986-1927-41b2-ad02-75262291dab9" xsi:nil="true"/>
    <lcf76f155ced4ddcb4097134ff3c332f xmlns="23021986-1927-41b2-ad02-75262291dab9">
      <Terms xmlns="http://schemas.microsoft.com/office/infopath/2007/PartnerControls"/>
    </lcf76f155ced4ddcb4097134ff3c332f>
    <Workflowstage xmlns="23021986-1927-41b2-ad02-75262291dab9" xsi:nil="true"/>
    <Documentowner xmlns="23021986-1927-41b2-ad02-75262291dab9">
      <UserInfo>
        <DisplayName/>
        <AccountId xsi:nil="true"/>
        <AccountType/>
      </UserInfo>
    </Documentowner>
  </documentManagement>
</p:properties>
</file>

<file path=customXml/itemProps1.xml><?xml version="1.0" encoding="utf-8"?>
<ds:datastoreItem xmlns:ds="http://schemas.openxmlformats.org/officeDocument/2006/customXml" ds:itemID="{C9F20DE3-01D8-4817-BCD6-25F05BF02A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13D1C4-7175-411D-8127-831399A8548F}"/>
</file>

<file path=customXml/itemProps3.xml><?xml version="1.0" encoding="utf-8"?>
<ds:datastoreItem xmlns:ds="http://schemas.openxmlformats.org/officeDocument/2006/customXml" ds:itemID="{E89384AA-A09E-4874-A73B-042BBCF57AEA}"/>
</file>

<file path=customXml/itemProps4.xml><?xml version="1.0" encoding="utf-8"?>
<ds:datastoreItem xmlns:ds="http://schemas.openxmlformats.org/officeDocument/2006/customXml" ds:itemID="{C3BF605F-6E58-478B-8282-0F68B35B8D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MC</cp:lastModifiedBy>
  <cp:revision>2</cp:revision>
  <dcterms:created xsi:type="dcterms:W3CDTF">2025-11-28T12:07:00Z</dcterms:created>
  <dcterms:modified xsi:type="dcterms:W3CDTF">2025-11-28T12:07:00Z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0x0101006DF4A8B6EFA9C74A929C1691FA89ACA2</vt:lpwstr>
  </property>
</Properties>
</file>